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B4A1" w14:textId="77777777" w:rsidR="002C02FB" w:rsidRPr="004C51C8" w:rsidRDefault="004C51C8">
      <w:pPr>
        <w:pStyle w:val="Titre1"/>
        <w:keepNext w:val="0"/>
        <w:keepLines w:val="0"/>
        <w:shd w:val="clear" w:color="auto" w:fill="FFFFFF"/>
        <w:spacing w:before="0" w:after="240" w:line="306" w:lineRule="auto"/>
        <w:rPr>
          <w:rFonts w:ascii="Helvetica Neue" w:eastAsia="Helvetica Neue" w:hAnsi="Helvetica Neue" w:cs="Helvetica Neue"/>
          <w:color w:val="1AA3DD"/>
          <w:sz w:val="59"/>
          <w:szCs w:val="59"/>
        </w:rPr>
      </w:pPr>
      <w:bookmarkStart w:id="0" w:name="_krdm72peukoa"/>
      <w:bookmarkEnd w:id="0"/>
      <w:r w:rsidRPr="004C51C8">
        <w:rPr>
          <w:rFonts w:ascii="Helvetica Neue" w:hAnsi="Helvetica Neue"/>
          <w:color w:val="1AA3DD"/>
          <w:sz w:val="59"/>
          <w:szCs w:val="32"/>
        </w:rPr>
        <w:t>Politique sur la protection des renseignements personnels</w:t>
      </w:r>
    </w:p>
    <w:p w14:paraId="4E03314B" w14:textId="77777777" w:rsidR="002C02FB" w:rsidRDefault="004C51C8">
      <w:pPr>
        <w:pStyle w:val="Titre1"/>
        <w:keepNext w:val="0"/>
        <w:keepLines w:val="0"/>
        <w:shd w:val="clear" w:color="auto" w:fill="FFFFFF"/>
        <w:spacing w:before="0" w:after="0" w:line="260" w:lineRule="auto"/>
        <w:rPr>
          <w:rFonts w:ascii="Helvetica Neue" w:eastAsia="Helvetica Neue" w:hAnsi="Helvetica Neue" w:cs="Helvetica Neue"/>
          <w:sz w:val="45"/>
          <w:szCs w:val="45"/>
        </w:rPr>
      </w:pPr>
      <w:bookmarkStart w:id="1" w:name="_g7qydir91ovz"/>
      <w:bookmarkEnd w:id="1"/>
      <w:r>
        <w:rPr>
          <w:rFonts w:ascii="Helvetica Neue" w:hAnsi="Helvetica Neue"/>
          <w:sz w:val="45"/>
        </w:rPr>
        <w:t>Engagement concernant la protection des renseignements personnels des participantes et participants aux programmes</w:t>
      </w:r>
    </w:p>
    <w:p w14:paraId="6B86FBE9"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 </w:t>
      </w:r>
    </w:p>
    <w:p w14:paraId="347B088A" w14:textId="77777777" w:rsidR="002C02FB" w:rsidRDefault="004C51C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2" w:name="_d540fywwnfpd"/>
      <w:bookmarkEnd w:id="2"/>
      <w:r>
        <w:rPr>
          <w:rFonts w:ascii="Helvetica Neue" w:hAnsi="Helvetica Neue"/>
          <w:color w:val="000000"/>
          <w:sz w:val="30"/>
        </w:rPr>
        <w:t xml:space="preserve">I.     </w:t>
      </w:r>
      <w:r>
        <w:rPr>
          <w:rFonts w:ascii="Helvetica Neue" w:hAnsi="Helvetica Neue"/>
          <w:color w:val="000000"/>
          <w:sz w:val="30"/>
        </w:rPr>
        <w:tab/>
        <w:t xml:space="preserve">Objectif </w:t>
      </w:r>
    </w:p>
    <w:p w14:paraId="6F036960"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 </w:t>
      </w:r>
    </w:p>
    <w:p w14:paraId="70EE8082"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Le Canada sera plus innovateur et productif grâce à des citoyennes et citoyens à l’esprit créatif et entrepreneurial qui génèrent de nouvelles idées et travaillent de concert pour les concrétiser. Mitacs s’engage avec passion à favoriser cette innovation. Lors de l’élaboration de nos programmes, de nos processus, de nos systèmes et de nos procédures, Mitacs s’efforcera de tenir compte des intérêts et des besoins de tous les utilisateurs, qui ont le plus grand intérêt direct dans la gestion de leurs données </w:t>
      </w:r>
      <w:r>
        <w:rPr>
          <w:rFonts w:ascii="Helvetica Neue" w:hAnsi="Helvetica Neue"/>
          <w:sz w:val="23"/>
        </w:rPr>
        <w:t>personnelles. Nous nous attachons à assurer la visibilité et la transparence des renseignements personnels recueillis par Mitacs, puisqu’ils sont essentiels pour établir la responsabilité et la confiance.</w:t>
      </w:r>
    </w:p>
    <w:p w14:paraId="08C4E627"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 </w:t>
      </w:r>
    </w:p>
    <w:p w14:paraId="04BE2171" w14:textId="77777777" w:rsidR="002C02FB" w:rsidRDefault="004C51C8">
      <w:pPr>
        <w:shd w:val="clear" w:color="auto" w:fill="FFFFFF"/>
        <w:spacing w:after="220"/>
        <w:rPr>
          <w:rFonts w:ascii="Helvetica Neue" w:eastAsia="Helvetica Neue" w:hAnsi="Helvetica Neue" w:cs="Helvetica Neue"/>
          <w:b/>
          <w:sz w:val="23"/>
          <w:szCs w:val="23"/>
        </w:rPr>
      </w:pPr>
      <w:r>
        <w:rPr>
          <w:rFonts w:ascii="Helvetica Neue" w:hAnsi="Helvetica Neue"/>
          <w:b/>
          <w:sz w:val="23"/>
        </w:rPr>
        <w:t xml:space="preserve">Pourquoi Mitacs a-t-il besoin d’une Politique sur la protection des renseignements personnels?  </w:t>
      </w:r>
    </w:p>
    <w:p w14:paraId="0D15932B"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Mitacs est défini comme un « organisme » en vertu de la </w:t>
      </w:r>
      <w:r>
        <w:rPr>
          <w:rFonts w:ascii="Helvetica Neue" w:hAnsi="Helvetica Neue"/>
          <w:i/>
          <w:iCs/>
          <w:sz w:val="23"/>
        </w:rPr>
        <w:t>Personal Information Protection Act, 2003</w:t>
      </w:r>
      <w:r>
        <w:rPr>
          <w:rFonts w:ascii="Helvetica Neue" w:hAnsi="Helvetica Neue"/>
          <w:sz w:val="23"/>
        </w:rPr>
        <w:t xml:space="preserve"> (</w:t>
      </w:r>
      <w:r>
        <w:rPr>
          <w:rFonts w:ascii="Helvetica Neue" w:hAnsi="Helvetica Neue"/>
          <w:b/>
          <w:sz w:val="23"/>
        </w:rPr>
        <w:t>PIPA</w:t>
      </w:r>
      <w:r>
        <w:rPr>
          <w:rFonts w:ascii="Helvetica Neue" w:hAnsi="Helvetica Neue"/>
          <w:sz w:val="23"/>
        </w:rPr>
        <w:t xml:space="preserve">) de la Colombie-Britannique et doit se conformer aux exigences de cette loi. Cette loi a pour but de régir la collecte, l’utilisation et la divulgation des </w:t>
      </w:r>
      <w:r>
        <w:rPr>
          <w:rFonts w:ascii="Helvetica Neue" w:hAnsi="Helvetica Neue"/>
          <w:b/>
          <w:bCs/>
          <w:sz w:val="23"/>
        </w:rPr>
        <w:t>renseignements personnels</w:t>
      </w:r>
      <w:r>
        <w:rPr>
          <w:rFonts w:ascii="Helvetica Neue" w:hAnsi="Helvetica Neue"/>
          <w:sz w:val="23"/>
        </w:rPr>
        <w:t xml:space="preserve"> par les organisations d’une manière qui reconnaisse à la fois le droit des individus à protéger leurs renseignements personnels et la nécessité pour les organisations de collecter, d’utiliser ou de divulguer des informations personnelles à des fins qu’une personne raisonnable estim</w:t>
      </w:r>
      <w:r>
        <w:rPr>
          <w:rFonts w:ascii="Helvetica Neue" w:hAnsi="Helvetica Neue"/>
          <w:sz w:val="23"/>
        </w:rPr>
        <w:t xml:space="preserve">erait appropriées dans les circonstances. Entre </w:t>
      </w:r>
      <w:r>
        <w:rPr>
          <w:rFonts w:ascii="Helvetica Neue" w:hAnsi="Helvetica Neue"/>
          <w:sz w:val="23"/>
        </w:rPr>
        <w:lastRenderedPageBreak/>
        <w:t>autres exigences de la PIPA, les organisations doivent élaborer et suivre des politiques et des pratiques qui répondent à l’objectif de la loi.</w:t>
      </w:r>
    </w:p>
    <w:p w14:paraId="0FBB850F"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Bon nombre des ententes de financement signées par Mitacs font référence à d’autres lois provinciales en matière d’accès à l’information et de protection de la vie privée, auxquelles Mitacs doit se conformer. Mitacs offre des programmes et des services à des </w:t>
      </w:r>
      <w:r>
        <w:rPr>
          <w:rFonts w:ascii="Helvetica Neue" w:hAnsi="Helvetica Neue"/>
          <w:b/>
          <w:sz w:val="23"/>
        </w:rPr>
        <w:t>personnes concernées au sein de l’Union européenne (UE)</w:t>
      </w:r>
      <w:r>
        <w:rPr>
          <w:rFonts w:ascii="Helvetica Neue" w:hAnsi="Helvetica Neue"/>
          <w:sz w:val="23"/>
        </w:rPr>
        <w:t xml:space="preserve"> et doit se conformer au </w:t>
      </w:r>
      <w:r>
        <w:rPr>
          <w:rFonts w:ascii="Helvetica Neue" w:hAnsi="Helvetica Neue"/>
          <w:b/>
          <w:sz w:val="23"/>
        </w:rPr>
        <w:t>Règlement général sur la protection des données (RGPD)</w:t>
      </w:r>
      <w:r>
        <w:rPr>
          <w:rFonts w:ascii="Helvetica Neue" w:hAnsi="Helvetica Neue"/>
          <w:sz w:val="23"/>
        </w:rPr>
        <w:t>. Mitacs s’engage à respecter toutes les lois sur l’accès à l’information et la protection de la vie privée applicables. Une politique sur la protection des renseignements personnels est indispensable pour tout programme de gestion en matière de protection de la vie privée.</w:t>
      </w:r>
    </w:p>
    <w:p w14:paraId="27EC38EA"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La présente Politique sur la protection des renseignements personnels est incluse dans l’évaluation annuelle de Mitacs et peut être mise à jour de temps à autre. Une version actuelle sera mise à disposition.</w:t>
      </w:r>
    </w:p>
    <w:p w14:paraId="2C501FC8"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 </w:t>
      </w:r>
    </w:p>
    <w:p w14:paraId="18E00D08"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  </w:t>
      </w:r>
    </w:p>
    <w:p w14:paraId="6660A96C" w14:textId="77777777" w:rsidR="002C02FB" w:rsidRDefault="004C51C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r>
        <w:rPr>
          <w:rFonts w:ascii="Helvetica Neue" w:hAnsi="Helvetica Neue"/>
          <w:color w:val="000000"/>
          <w:sz w:val="30"/>
        </w:rPr>
        <w:t xml:space="preserve">II.  </w:t>
      </w:r>
      <w:r>
        <w:rPr>
          <w:rFonts w:ascii="Helvetica Neue" w:hAnsi="Helvetica Neue"/>
          <w:color w:val="000000"/>
          <w:sz w:val="30"/>
        </w:rPr>
        <w:tab/>
        <w:t xml:space="preserve">Table des matières </w:t>
      </w:r>
    </w:p>
    <w:p w14:paraId="255072F2" w14:textId="77777777" w:rsidR="002C02FB" w:rsidRDefault="004C51C8">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3" w:name="_1k9vu0tbtb0o"/>
      <w:bookmarkEnd w:id="3"/>
      <w:r>
        <w:rPr>
          <w:rFonts w:ascii="Helvetica Neue" w:hAnsi="Helvetica Neue"/>
          <w:color w:val="000000"/>
          <w:sz w:val="30"/>
        </w:rPr>
        <w:t xml:space="preserve"> </w:t>
      </w:r>
    </w:p>
    <w:p w14:paraId="1A56782C" w14:textId="77777777" w:rsidR="002C02FB" w:rsidRDefault="004C51C8">
      <w:pPr>
        <w:shd w:val="clear" w:color="auto" w:fill="FFFFFF"/>
        <w:spacing w:after="220"/>
        <w:rPr>
          <w:rFonts w:ascii="Helvetica Neue" w:eastAsia="Helvetica Neue" w:hAnsi="Helvetica Neue" w:cs="Helvetica Neue"/>
          <w:b/>
          <w:sz w:val="23"/>
          <w:szCs w:val="23"/>
        </w:rPr>
      </w:pPr>
      <w:r>
        <w:rPr>
          <w:rFonts w:ascii="Helvetica Neue" w:hAnsi="Helvetica Neue"/>
          <w:b/>
          <w:sz w:val="23"/>
        </w:rPr>
        <w:t>Quels thèmes sont abordés dans la présente politique?</w:t>
      </w:r>
    </w:p>
    <w:p w14:paraId="024CE3B0"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Cette Politique expose les pratiques de Mitacs en matière de confidentialité relatives à la collecte, l’utilisation, la divulgation et la conservation des renseignements personnels dont il a </w:t>
      </w:r>
      <w:r>
        <w:rPr>
          <w:rFonts w:ascii="Helvetica Neue" w:hAnsi="Helvetica Neue"/>
          <w:b/>
          <w:bCs/>
          <w:sz w:val="23"/>
        </w:rPr>
        <w:t xml:space="preserve">la garde et le </w:t>
      </w:r>
      <w:r>
        <w:rPr>
          <w:rFonts w:ascii="Helvetica Neue" w:hAnsi="Helvetica Neue"/>
          <w:b/>
          <w:bCs/>
          <w:sz w:val="23"/>
        </w:rPr>
        <w:t>contrôle</w:t>
      </w:r>
      <w:r>
        <w:rPr>
          <w:rFonts w:ascii="Helvetica Neue" w:hAnsi="Helvetica Neue"/>
          <w:sz w:val="23"/>
        </w:rPr>
        <w:t xml:space="preserve">. </w:t>
      </w:r>
    </w:p>
    <w:p w14:paraId="5AC79726"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Chez Mitacs, nous assumons la responsabilité des renseignements personnels dont nous avons la garde et le contrôle. Cette Politique de protection des renseignements personnels s’applique à tout le personnel de Mitacs, au conseil d’administration et aux </w:t>
      </w:r>
      <w:r>
        <w:rPr>
          <w:rFonts w:ascii="Helvetica Neue" w:hAnsi="Helvetica Neue"/>
          <w:b/>
          <w:bCs/>
          <w:sz w:val="23"/>
        </w:rPr>
        <w:t>tiers</w:t>
      </w:r>
      <w:r>
        <w:rPr>
          <w:rFonts w:ascii="Helvetica Neue" w:hAnsi="Helvetica Neue"/>
          <w:sz w:val="23"/>
        </w:rPr>
        <w:t xml:space="preserve">, y compris les entrepreneurs et autres fournisseurs de services engagés par Mitacs.       </w:t>
      </w:r>
    </w:p>
    <w:p w14:paraId="35FE8033" w14:textId="77777777" w:rsidR="002C02FB" w:rsidRDefault="004C51C8">
      <w:pPr>
        <w:shd w:val="clear" w:color="auto" w:fill="FFFFFF"/>
        <w:spacing w:after="220"/>
        <w:rPr>
          <w:rFonts w:ascii="Helvetica Neue" w:eastAsia="Helvetica Neue" w:hAnsi="Helvetica Neue" w:cs="Helvetica Neue"/>
          <w:b/>
          <w:sz w:val="23"/>
          <w:szCs w:val="23"/>
        </w:rPr>
      </w:pPr>
      <w:r>
        <w:rPr>
          <w:rFonts w:ascii="Helvetica Neue" w:hAnsi="Helvetica Neue"/>
          <w:b/>
          <w:sz w:val="23"/>
        </w:rPr>
        <w:t>Qui est responsable du programme de protection de la vie privée de Mitacs?</w:t>
      </w:r>
    </w:p>
    <w:p w14:paraId="7F88E483"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Notre Cheffe financière et des ressources humaines (CFRH) est désignée comme la cheffe de la protection des renseignements personnels. Toute personne qui souhaite déposer une plainte concernant les pratiques de gestion des renseignements personnels de Mitacs ou sa conformité à la présente Politique est tenue d’envoyer sa plainte par écrit au responsable de la protection de la vie privée. La cheffe de la protection des renseignements personnels veillera à ce que toutes les plaintes fassent l’objet d’une </w:t>
      </w:r>
      <w:r>
        <w:rPr>
          <w:rFonts w:ascii="Helvetica Neue" w:hAnsi="Helvetica Neue"/>
          <w:sz w:val="23"/>
        </w:rPr>
        <w:lastRenderedPageBreak/>
        <w:t>enquête et qu’une suite soit donnée à toutes les plaintes écrites. Si elle conclut qu’une plainte est justifiée, Mitacs prendra des mesures raisonnables pour régler la situation et pour modifier cette Politique ou les procédures, selon le cas.</w:t>
      </w:r>
    </w:p>
    <w:p w14:paraId="41B37A70"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Coordonnées :</w:t>
      </w:r>
    </w:p>
    <w:p w14:paraId="1D6CF67A"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Chef de la protection des renseignements personnels</w:t>
      </w:r>
      <w:r>
        <w:rPr>
          <w:rFonts w:ascii="Helvetica Neue" w:hAnsi="Helvetica Neue"/>
          <w:sz w:val="23"/>
        </w:rPr>
        <w:br/>
        <w:t>Mitacs</w:t>
      </w:r>
      <w:r>
        <w:rPr>
          <w:rFonts w:ascii="Helvetica Neue" w:hAnsi="Helvetica Neue"/>
          <w:sz w:val="23"/>
        </w:rPr>
        <w:br/>
      </w:r>
      <w:r>
        <w:rPr>
          <w:rFonts w:ascii="Helvetica Neue" w:hAnsi="Helvetica Neue"/>
          <w:sz w:val="23"/>
        </w:rPr>
        <w:t>Suite 301, Technology Enterprise Facility</w:t>
      </w:r>
      <w:r>
        <w:rPr>
          <w:rFonts w:ascii="Helvetica Neue" w:hAnsi="Helvetica Neue"/>
          <w:sz w:val="23"/>
        </w:rPr>
        <w:br/>
        <w:t>University of British Columbia</w:t>
      </w:r>
      <w:r>
        <w:rPr>
          <w:rFonts w:ascii="Helvetica Neue" w:hAnsi="Helvetica Neue"/>
          <w:sz w:val="23"/>
        </w:rPr>
        <w:br/>
        <w:t>6190 Agronomy Road</w:t>
      </w:r>
      <w:r>
        <w:rPr>
          <w:rFonts w:ascii="Helvetica Neue" w:hAnsi="Helvetica Neue"/>
          <w:sz w:val="23"/>
        </w:rPr>
        <w:br/>
        <w:t xml:space="preserve">Vancouver, BC, V6T 1Z3 </w:t>
      </w:r>
      <w:r>
        <w:rPr>
          <w:rFonts w:ascii="Helvetica Neue" w:hAnsi="Helvetica Neue"/>
          <w:sz w:val="23"/>
        </w:rPr>
        <w:br/>
        <w:t xml:space="preserve">Courriel : </w:t>
      </w:r>
      <w:hyperlink r:id="rId5">
        <w:r>
          <w:rPr>
            <w:rFonts w:ascii="Helvetica Neue" w:hAnsi="Helvetica Neue"/>
            <w:color w:val="1AA3DD"/>
            <w:sz w:val="23"/>
            <w:u w:val="single"/>
          </w:rPr>
          <w:t>privacy@mitacs.ca</w:t>
        </w:r>
      </w:hyperlink>
      <w:r>
        <w:rPr>
          <w:rFonts w:ascii="Helvetica Neue" w:hAnsi="Helvetica Neue"/>
          <w:sz w:val="23"/>
        </w:rPr>
        <w:t xml:space="preserve"> </w:t>
      </w:r>
      <w:r>
        <w:rPr>
          <w:rFonts w:ascii="Helvetica Neue" w:hAnsi="Helvetica Neue"/>
          <w:sz w:val="23"/>
        </w:rPr>
        <w:br/>
        <w:t>Téléphone :  604-822-9189</w:t>
      </w:r>
    </w:p>
    <w:p w14:paraId="78386D59"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 xml:space="preserve">En vertu de la PIPA, les individus ont le droit de déposer une plainte au </w:t>
      </w:r>
      <w:hyperlink r:id="rId6">
        <w:r>
          <w:rPr>
            <w:rFonts w:ascii="Helvetica Neue" w:hAnsi="Helvetica Neue"/>
            <w:color w:val="1AA3DD"/>
            <w:sz w:val="23"/>
          </w:rPr>
          <w:t>Office of the Information and Privacy Commissioner for British Columbia (OIPC)</w:t>
        </w:r>
      </w:hyperlink>
      <w:r>
        <w:rPr>
          <w:rFonts w:ascii="Helvetica Neue" w:hAnsi="Helvetica Neue"/>
          <w:sz w:val="23"/>
        </w:rPr>
        <w:t>. Les individus ont aussi le droit d’accéder à leurs renseignements personnels ainsi que de les corriger. La PIPA protège également un·e employé·e qui, de bonne foi, signale une violation à la PIPA au OPIC, agit de sorte à éviter ou empêcher une telle violation, ou qui refuse de poser un geste qui, selon lui ou elle, est une violation de la PIPA. Si l’une ou l’autre de ces situations survient, l’employé·e (ou lanceur d’alerte) bénéficie d’une protection contre toutes représailles de la part d’une organisati</w:t>
      </w:r>
      <w:r>
        <w:rPr>
          <w:rFonts w:ascii="Helvetica Neue" w:hAnsi="Helvetica Neue"/>
          <w:sz w:val="23"/>
        </w:rPr>
        <w:t>on, comme une suspension ou un renvoi.</w:t>
      </w:r>
    </w:p>
    <w:p w14:paraId="27C7F707" w14:textId="77777777" w:rsidR="002C02FB" w:rsidRDefault="004C51C8">
      <w:pPr>
        <w:shd w:val="clear" w:color="auto" w:fill="FFFFFF"/>
        <w:spacing w:after="220"/>
        <w:ind w:left="600"/>
        <w:rPr>
          <w:rFonts w:ascii="Helvetica Neue" w:eastAsia="Helvetica Neue" w:hAnsi="Helvetica Neue" w:cs="Helvetica Neue"/>
          <w:color w:val="1AA3DD"/>
          <w:sz w:val="23"/>
          <w:szCs w:val="23"/>
        </w:rPr>
      </w:pPr>
      <w:r>
        <w:rPr>
          <w:rFonts w:ascii="Helvetica Neue" w:hAnsi="Helvetica Neue"/>
          <w:sz w:val="23"/>
        </w:rPr>
        <w:t>Office of the Information and Privacy Commissioner for British Columbia (OIPC)</w:t>
      </w:r>
      <w:r>
        <w:rPr>
          <w:rFonts w:ascii="Helvetica Neue" w:hAnsi="Helvetica Neue"/>
          <w:sz w:val="23"/>
        </w:rPr>
        <w:br/>
        <w:t>O Box 9038 Stn. Prov. Govt.</w:t>
      </w:r>
      <w:r>
        <w:rPr>
          <w:rFonts w:ascii="Helvetica Neue" w:hAnsi="Helvetica Neue"/>
          <w:sz w:val="23"/>
        </w:rPr>
        <w:br/>
        <w:t>Victoria B.C. V8W 9A4</w:t>
      </w:r>
      <w:r>
        <w:rPr>
          <w:rFonts w:ascii="Helvetica Neue" w:hAnsi="Helvetica Neue"/>
          <w:sz w:val="23"/>
        </w:rPr>
        <w:br/>
        <w:t>Téléphone :  (250) 387-5629</w:t>
      </w:r>
      <w:r>
        <w:rPr>
          <w:rFonts w:ascii="Helvetica Neue" w:hAnsi="Helvetica Neue"/>
          <w:sz w:val="23"/>
        </w:rPr>
        <w:br/>
        <w:t>Vancouver: (604) 660-2421</w:t>
      </w:r>
      <w:r>
        <w:rPr>
          <w:rFonts w:ascii="Helvetica Neue" w:hAnsi="Helvetica Neue"/>
          <w:sz w:val="23"/>
        </w:rPr>
        <w:br/>
        <w:t>Ailleurs en C.-B. : (800) 663-7867</w:t>
      </w:r>
      <w:r>
        <w:rPr>
          <w:rFonts w:ascii="Helvetica Neue" w:hAnsi="Helvetica Neue"/>
          <w:sz w:val="23"/>
        </w:rPr>
        <w:br/>
      </w:r>
      <w:r>
        <w:rPr>
          <w:rFonts w:ascii="Helvetica Neue" w:hAnsi="Helvetica Neue"/>
          <w:sz w:val="23"/>
        </w:rPr>
        <w:t>Courriel :</w:t>
      </w:r>
      <w:r>
        <w:rPr>
          <w:rFonts w:ascii="Helvetica Neue" w:hAnsi="Helvetica Neue"/>
          <w:color w:val="1AA3DD"/>
          <w:sz w:val="23"/>
        </w:rPr>
        <w:t xml:space="preserve"> </w:t>
      </w:r>
      <w:hyperlink r:id="rId7">
        <w:r>
          <w:rPr>
            <w:rFonts w:ascii="Helvetica Neue" w:hAnsi="Helvetica Neue"/>
            <w:color w:val="1AA3DD"/>
            <w:sz w:val="23"/>
            <w:u w:val="single"/>
          </w:rPr>
          <w:t>info@oipc.bc.ca</w:t>
        </w:r>
      </w:hyperlink>
    </w:p>
    <w:p w14:paraId="3D5C9F96" w14:textId="77777777" w:rsidR="002C02FB" w:rsidRDefault="004C51C8">
      <w:pPr>
        <w:shd w:val="clear" w:color="auto" w:fill="FFFFFF"/>
        <w:spacing w:after="220"/>
        <w:rPr>
          <w:rFonts w:ascii="Helvetica Neue" w:eastAsia="Helvetica Neue" w:hAnsi="Helvetica Neue" w:cs="Helvetica Neue"/>
          <w:b/>
          <w:sz w:val="23"/>
          <w:szCs w:val="23"/>
        </w:rPr>
      </w:pPr>
      <w:r>
        <w:rPr>
          <w:rFonts w:ascii="Helvetica Neue" w:hAnsi="Helvetica Neue"/>
          <w:b/>
          <w:sz w:val="23"/>
        </w:rPr>
        <w:t xml:space="preserve">Droits des personnes concernées de l’UE </w:t>
      </w:r>
    </w:p>
    <w:p w14:paraId="25630161"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Outre les droits prévus par la PIPA concernant les renseignements personnels d’un individu, les personnes résidant dans l’UE, dont les renseignements personnels  sont sous la garde et le contrôle de Mitacs, disposent de certains droits supplémentaires en vertu du GDPR :</w:t>
      </w:r>
    </w:p>
    <w:p w14:paraId="6238AF71"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 xml:space="preserve">Restrictions sur le traitement ultérieur : Les personnes concernées de l’UE ont le droit, en cas de litige concernant l’exactitude ou la base du traitement de leurs </w:t>
      </w:r>
      <w:r>
        <w:rPr>
          <w:rFonts w:ascii="Helvetica Neue" w:hAnsi="Helvetica Neue"/>
          <w:sz w:val="23"/>
        </w:rPr>
        <w:lastRenderedPageBreak/>
        <w:t>données à caractère personnel, de demander une limitation du traitement ultérieur par Mitacs.</w:t>
      </w:r>
    </w:p>
    <w:p w14:paraId="33AF6DA6"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Effacement : Les personnes concernées de l’UE ont le droit d’obtenir l’effacement de leurs données à caractère personnel (« droit à l’oubli ») dans certaines circonstances.</w:t>
      </w:r>
    </w:p>
    <w:p w14:paraId="6C0E4CD9"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Portabilité des données : Les personnes concernées de l’UE ont le droit de demander que les données à caractère personnel qu’elles ont fournies à Mitacs leur soient renvoyées ou soient fournies à un autre tiers de leur choix, dans un format structuré, couramment utilisé et lisible par machine.</w:t>
      </w:r>
    </w:p>
    <w:p w14:paraId="7BA70EF9"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Prise de décision automatisée : Les citoyens et citoyennes de l’UE ont le droit de ne pas faire l’objet d’une décision fondée uniquement sur une prise de décision automatisée (par exemple, des algorithmes d’IA/d’apprentissage automatique). Dans le cadre de ce droit, les personnes concernées de l’UE peuvent avoir le droit de demander une intervention humaine concernant cette prise de décision automatisée, ainsi que d’exprimer leur point de vue ou de contester cette prise de décision automatisée par Mitacs.</w:t>
      </w:r>
    </w:p>
    <w:p w14:paraId="52F66742" w14:textId="77777777" w:rsidR="002C02FB" w:rsidRDefault="004C51C8">
      <w:pPr>
        <w:shd w:val="clear" w:color="auto" w:fill="FFFFFF"/>
        <w:spacing w:after="220"/>
        <w:rPr>
          <w:rFonts w:ascii="Helvetica Neue" w:eastAsia="Helvetica Neue" w:hAnsi="Helvetica Neue" w:cs="Helvetica Neue"/>
          <w:b/>
          <w:sz w:val="23"/>
          <w:szCs w:val="23"/>
        </w:rPr>
      </w:pPr>
      <w:r>
        <w:rPr>
          <w:rFonts w:ascii="Helvetica Neue" w:hAnsi="Helvetica Neue"/>
          <w:b/>
          <w:sz w:val="23"/>
        </w:rPr>
        <w:t xml:space="preserve">Politique de Mitacs </w:t>
      </w:r>
    </w:p>
    <w:p w14:paraId="51E4321B" w14:textId="77777777" w:rsidR="002C02FB" w:rsidRDefault="004C51C8">
      <w:pPr>
        <w:numPr>
          <w:ilvl w:val="0"/>
          <w:numId w:val="1"/>
        </w:numPr>
        <w:ind w:left="1020"/>
      </w:pPr>
      <w:r>
        <w:rPr>
          <w:rFonts w:ascii="Helvetica Neue" w:hAnsi="Helvetica Neue"/>
          <w:sz w:val="23"/>
        </w:rPr>
        <w:t>Mitacs ne collectera pas, n’utilisera pas et ne divulguera pas de renseignements personnels sur une personne à moins a) que la personne donne son consentement, b) que cela soit autorisé par la loi ou c) que le consentement soit considéré comme donné conformément à la loi.</w:t>
      </w:r>
    </w:p>
    <w:p w14:paraId="3A631B90" w14:textId="77777777" w:rsidR="002C02FB" w:rsidRDefault="004C51C8">
      <w:pPr>
        <w:numPr>
          <w:ilvl w:val="0"/>
          <w:numId w:val="1"/>
        </w:numPr>
        <w:ind w:left="1020"/>
      </w:pPr>
      <w:r>
        <w:rPr>
          <w:rFonts w:ascii="Helvetica Neue" w:hAnsi="Helvetica Neue"/>
          <w:sz w:val="23"/>
        </w:rPr>
        <w:t>Mitacs limite la collecte, l’utilisation, la divulgation et la conservation des renseignements personnels à ce qui est nécessaire pour l’utilisation de Mitacs ou comme la loi l’exige.</w:t>
      </w:r>
    </w:p>
    <w:p w14:paraId="0725306B" w14:textId="77777777" w:rsidR="002C02FB" w:rsidRDefault="004C51C8">
      <w:pPr>
        <w:numPr>
          <w:ilvl w:val="0"/>
          <w:numId w:val="1"/>
        </w:numPr>
        <w:ind w:left="1020"/>
      </w:pPr>
      <w:r>
        <w:rPr>
          <w:rFonts w:ascii="Helvetica Neue" w:hAnsi="Helvetica Neue"/>
          <w:sz w:val="23"/>
        </w:rPr>
        <w:t xml:space="preserve">Les principales raisons pour lesquelles Mitacs collecte, utilise, divulgue et conserve des renseignements personnels sont les suivantes : </w:t>
      </w:r>
    </w:p>
    <w:p w14:paraId="38BF28D3" w14:textId="77777777" w:rsidR="002C02FB" w:rsidRDefault="004C51C8">
      <w:pPr>
        <w:numPr>
          <w:ilvl w:val="0"/>
          <w:numId w:val="3"/>
        </w:numPr>
        <w:ind w:left="1320"/>
      </w:pPr>
      <w:r>
        <w:rPr>
          <w:rFonts w:ascii="Helvetica Neue" w:hAnsi="Helvetica Neue"/>
          <w:sz w:val="23"/>
        </w:rPr>
        <w:t>communiquer des renseignements à propos de nos programmes et de nos services et établir ou entretenir une relation avec des personnes;</w:t>
      </w:r>
    </w:p>
    <w:p w14:paraId="188E0A16" w14:textId="77777777" w:rsidR="002C02FB" w:rsidRDefault="004C51C8">
      <w:pPr>
        <w:numPr>
          <w:ilvl w:val="0"/>
          <w:numId w:val="3"/>
        </w:numPr>
        <w:ind w:left="1320"/>
      </w:pPr>
      <w:r>
        <w:rPr>
          <w:rFonts w:ascii="Helvetica Neue" w:hAnsi="Helvetica Neue"/>
          <w:sz w:val="23"/>
        </w:rPr>
        <w:t>nous conformer à des exigences légales, réglementaires ou contractuelles, par exemple pour fournir à nos bailleurs de fonds des renseignements sur la participation aux programmes et leurs résultats;</w:t>
      </w:r>
    </w:p>
    <w:p w14:paraId="1C25A2E5" w14:textId="77777777" w:rsidR="002C02FB" w:rsidRDefault="004C51C8">
      <w:pPr>
        <w:numPr>
          <w:ilvl w:val="0"/>
          <w:numId w:val="3"/>
        </w:numPr>
        <w:ind w:left="1320"/>
      </w:pPr>
      <w:r>
        <w:rPr>
          <w:rFonts w:ascii="Helvetica Neue" w:hAnsi="Helvetica Neue"/>
          <w:sz w:val="23"/>
        </w:rPr>
        <w:t>évaluer l’admissibilité d’une personne présentant une demande à un programme ou à une bourse Mitacs;</w:t>
      </w:r>
    </w:p>
    <w:p w14:paraId="6AE6E7CE" w14:textId="77777777" w:rsidR="002C02FB" w:rsidRDefault="004C51C8">
      <w:pPr>
        <w:numPr>
          <w:ilvl w:val="0"/>
          <w:numId w:val="3"/>
        </w:numPr>
        <w:ind w:left="1320"/>
      </w:pPr>
      <w:r>
        <w:rPr>
          <w:rFonts w:ascii="Helvetica Neue" w:hAnsi="Helvetica Neue"/>
          <w:sz w:val="23"/>
        </w:rPr>
        <w:t>administrer les événements et les programmes de Mitacs;</w:t>
      </w:r>
    </w:p>
    <w:p w14:paraId="3757C804" w14:textId="77777777" w:rsidR="002C02FB" w:rsidRDefault="004C51C8">
      <w:pPr>
        <w:numPr>
          <w:ilvl w:val="0"/>
          <w:numId w:val="3"/>
        </w:numPr>
        <w:ind w:left="1320"/>
      </w:pPr>
      <w:r>
        <w:rPr>
          <w:rFonts w:ascii="Helvetica Neue" w:hAnsi="Helvetica Neue"/>
          <w:sz w:val="23"/>
        </w:rPr>
        <w:t>faire de la recherche et des analyses sur nos programmes et nos services, les évaluer et les améliorer;</w:t>
      </w:r>
    </w:p>
    <w:p w14:paraId="3DA116CC" w14:textId="77777777" w:rsidR="002C02FB" w:rsidRDefault="004C51C8">
      <w:pPr>
        <w:numPr>
          <w:ilvl w:val="0"/>
          <w:numId w:val="3"/>
        </w:numPr>
        <w:ind w:left="1320"/>
      </w:pPr>
      <w:r>
        <w:rPr>
          <w:rFonts w:ascii="Helvetica Neue" w:hAnsi="Helvetica Neue"/>
          <w:sz w:val="23"/>
        </w:rPr>
        <w:lastRenderedPageBreak/>
        <w:t>établir et gérer l’embauche d’employé·es ou d’autres relations professionnelles avec des employé·es.</w:t>
      </w:r>
      <w:r>
        <w:rPr>
          <w:rFonts w:ascii="Helvetica Neue" w:hAnsi="Helvetica Neue"/>
          <w:sz w:val="23"/>
        </w:rPr>
        <w:br/>
        <w:t xml:space="preserve"> </w:t>
      </w:r>
    </w:p>
    <w:p w14:paraId="67F465AD" w14:textId="77777777" w:rsidR="002C02FB" w:rsidRDefault="004C51C8">
      <w:pPr>
        <w:numPr>
          <w:ilvl w:val="0"/>
          <w:numId w:val="2"/>
        </w:numPr>
        <w:ind w:left="1020"/>
      </w:pPr>
      <w:r>
        <w:rPr>
          <w:rFonts w:ascii="Helvetica Neue" w:hAnsi="Helvetica Neue"/>
          <w:sz w:val="23"/>
        </w:rPr>
        <w:t>Mitacs peut compter sur le consentement implicite si la personne connaît l’objectif de la collecte, de l’utilisation, de la divulgation ou de la conservation de ses renseignements personnels, si l’objectif est conforme à ceux mentionnés ci-dessus ou à ceux auxquels une personne raisonnable pourrait s’attendre. Ce n’est pas le cas avec les personnes concernées de l’UE conformément au Règlement général sur la protection des données (RGPD).</w:t>
      </w:r>
    </w:p>
    <w:p w14:paraId="25ED8853" w14:textId="77777777" w:rsidR="002C02FB" w:rsidRDefault="004C51C8">
      <w:pPr>
        <w:numPr>
          <w:ilvl w:val="0"/>
          <w:numId w:val="2"/>
        </w:numPr>
        <w:ind w:left="1020"/>
      </w:pPr>
      <w:r>
        <w:rPr>
          <w:rFonts w:ascii="Helvetica Neue" w:hAnsi="Helvetica Neue"/>
          <w:sz w:val="23"/>
        </w:rPr>
        <w:t>Mitacs obtiendra le consentement explicite de la personne à des fins secondaires (c.-à-d., les objectifs qui n’ont pas été énoncés dans cette Politique), à moins qu’elles soient si semblables à celles auxquelles elle a déjà consenti que la personne pourrait s’y attendre (c.-à-d., conformes à l’objectif original).</w:t>
      </w:r>
    </w:p>
    <w:p w14:paraId="24938FE7" w14:textId="77777777" w:rsidR="002C02FB" w:rsidRDefault="004C51C8">
      <w:pPr>
        <w:numPr>
          <w:ilvl w:val="0"/>
          <w:numId w:val="2"/>
        </w:numPr>
        <w:ind w:left="1020"/>
      </w:pPr>
      <w:r>
        <w:rPr>
          <w:rFonts w:ascii="Helvetica Neue" w:hAnsi="Helvetica Neue"/>
          <w:sz w:val="23"/>
        </w:rPr>
        <w:t>Mitacs se conformera à la demande d’une personne de retirer son consentement à la collecte, l’utilisation, la divulgation ou la conservation de ses renseignements personnels, à moins que cela fasse obstacle à une obligation juridique ou contractuelle.</w:t>
      </w:r>
    </w:p>
    <w:p w14:paraId="4C0449CA" w14:textId="77777777" w:rsidR="002C02FB" w:rsidRDefault="004C51C8">
      <w:pPr>
        <w:numPr>
          <w:ilvl w:val="0"/>
          <w:numId w:val="2"/>
        </w:numPr>
        <w:ind w:left="1020"/>
      </w:pPr>
      <w:r>
        <w:rPr>
          <w:rFonts w:ascii="Helvetica Neue" w:hAnsi="Helvetica Neue"/>
          <w:sz w:val="23"/>
        </w:rPr>
        <w:t>Mitacs déploie des efforts raisonnables pour s’assurer que les renseignements personnels recueillis par Mitacs ou au nom de Mitacs sont exacts et complets.</w:t>
      </w:r>
    </w:p>
    <w:p w14:paraId="5B8F9F0D" w14:textId="77777777" w:rsidR="002C02FB" w:rsidRDefault="004C51C8">
      <w:pPr>
        <w:numPr>
          <w:ilvl w:val="0"/>
          <w:numId w:val="2"/>
        </w:numPr>
        <w:ind w:left="1020"/>
      </w:pPr>
      <w:r>
        <w:rPr>
          <w:rFonts w:ascii="Helvetica Neue" w:hAnsi="Helvetica Neue"/>
          <w:sz w:val="23"/>
        </w:rPr>
        <w:t xml:space="preserve">Mitacs reconnaît que des personnes ont le droit de consulter et de corriger leurs renseignements personnels. </w:t>
      </w:r>
      <w:r>
        <w:rPr>
          <w:rFonts w:ascii="Helvetica Neue" w:hAnsi="Helvetica Neue"/>
          <w:sz w:val="23"/>
        </w:rPr>
        <w:t>Mitacs communiquera de l’information au sujet de l’existence, de l’utilisation et de la divulgation des renseignements personnels d’une personne dont il a la garde et le contrôle. Mitacs ne facture aucuns frais pour accéder à de l’information si le demandeur est un employé. Cependant, Mitacs peut facturer des frais minimums pour toute autre demande.</w:t>
      </w:r>
    </w:p>
    <w:p w14:paraId="2FD5994E" w14:textId="77777777" w:rsidR="002C02FB" w:rsidRDefault="004C51C8">
      <w:pPr>
        <w:numPr>
          <w:ilvl w:val="0"/>
          <w:numId w:val="2"/>
        </w:numPr>
        <w:ind w:left="1020"/>
      </w:pPr>
      <w:r>
        <w:rPr>
          <w:rFonts w:ascii="Helvetica Neue" w:hAnsi="Helvetica Neue"/>
          <w:sz w:val="23"/>
        </w:rPr>
        <w:t>Mitacs reconnaît que les personnes concernées de l’UE ont des droits supplémentaires en vertu du RGPD en ce qui a trait à leurs renseignements personnels dont Mitacs a la garde et le contrôle, et a tenu compte de ces droits supplémentaires dans sa gestion des renseignements personnels.</w:t>
      </w:r>
    </w:p>
    <w:p w14:paraId="3067082C" w14:textId="77777777" w:rsidR="002C02FB" w:rsidRDefault="004C51C8">
      <w:pPr>
        <w:numPr>
          <w:ilvl w:val="0"/>
          <w:numId w:val="2"/>
        </w:numPr>
        <w:ind w:left="1020"/>
      </w:pPr>
      <w:r>
        <w:rPr>
          <w:rFonts w:ascii="Helvetica Neue" w:hAnsi="Helvetica Neue"/>
          <w:sz w:val="23"/>
        </w:rPr>
        <w:t>Mitacs a recours à des mesures physiques, administratives et techniques raisonnables pour protéger les renseignements personnels contre tout accès, collecte, utilisation, divulgation, copie, modification ou destruction non autorisés ou tout autre risque semblable.</w:t>
      </w:r>
    </w:p>
    <w:p w14:paraId="7BB15AB8" w14:textId="77777777" w:rsidR="002C02FB" w:rsidRDefault="004C51C8">
      <w:pPr>
        <w:numPr>
          <w:ilvl w:val="0"/>
          <w:numId w:val="2"/>
        </w:numPr>
        <w:ind w:left="1020"/>
      </w:pPr>
      <w:r>
        <w:rPr>
          <w:rFonts w:ascii="Helvetica Neue" w:hAnsi="Helvetica Neue"/>
          <w:sz w:val="23"/>
        </w:rPr>
        <w:t>Mitacs suit son protocole en cas d’atteinte à la vie privée.</w:t>
      </w:r>
    </w:p>
    <w:p w14:paraId="5DF243C5" w14:textId="77777777" w:rsidR="002C02FB" w:rsidRDefault="004C51C8">
      <w:pPr>
        <w:numPr>
          <w:ilvl w:val="0"/>
          <w:numId w:val="2"/>
        </w:numPr>
        <w:spacing w:after="220"/>
        <w:ind w:left="1020"/>
      </w:pPr>
      <w:r>
        <w:rPr>
          <w:rFonts w:ascii="Helvetica Neue" w:hAnsi="Helvetica Neue"/>
          <w:sz w:val="23"/>
        </w:rPr>
        <w:t>Mitacs doit détruire les documents contenant des renseignements personnels ou rendre les renseignements anonymes dès qu’il est raisonnable de supposer ce qui suit :</w:t>
      </w:r>
    </w:p>
    <w:p w14:paraId="321ED161"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lastRenderedPageBreak/>
        <w:t>a.  la conservation des renseignements personnels ne permet plus d’atteindre l’objectif pour lequel ceux-ci ont été collectés;</w:t>
      </w:r>
      <w:r>
        <w:rPr>
          <w:rFonts w:ascii="Helvetica Neue" w:hAnsi="Helvetica Neue"/>
          <w:sz w:val="23"/>
        </w:rPr>
        <w:br/>
        <w:t>b.  il n’est plus nécessaire de conserver les renseignements personnels à des fins juridiques ou commerciales.</w:t>
      </w:r>
    </w:p>
    <w:p w14:paraId="635356E5"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b/>
          <w:sz w:val="23"/>
        </w:rPr>
        <w:t>Les exceptions sont les suivantes :</w:t>
      </w:r>
      <w:r>
        <w:rPr>
          <w:rFonts w:ascii="Helvetica Neue" w:hAnsi="Helvetica Neue"/>
          <w:sz w:val="23"/>
        </w:rPr>
        <w:t xml:space="preserve"> </w:t>
      </w:r>
    </w:p>
    <w:p w14:paraId="0F39752C"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Si Mitacs utilise les renseignements personnels d’une personne en vue de prendre une décision qui touche directement la personne (p. ex., employé·e, candidat·e à un programme), Mitacs doit conserver ces renseignements au moins un an après les avoir utilisés de sorte que la personne ait une occasion raisonnable d’y avoir accès.</w:t>
      </w:r>
    </w:p>
    <w:p w14:paraId="2A50D4A1"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Compte tenu de ce qui précède, Mitacs respectera ses propres périodes ou calendriers de conservation des documents, en fonction des exigences financières, juridiques, réglementaires, opérationnelles, d’audit ou d’archivage.</w:t>
      </w:r>
    </w:p>
    <w:p w14:paraId="79F9EE70" w14:textId="77777777" w:rsidR="002C02FB" w:rsidRDefault="004C51C8">
      <w:pPr>
        <w:shd w:val="clear" w:color="auto" w:fill="FFFFFF"/>
        <w:spacing w:after="220"/>
        <w:ind w:left="600"/>
        <w:rPr>
          <w:rFonts w:ascii="Helvetica Neue" w:eastAsia="Helvetica Neue" w:hAnsi="Helvetica Neue" w:cs="Helvetica Neue"/>
          <w:sz w:val="23"/>
          <w:szCs w:val="23"/>
        </w:rPr>
      </w:pPr>
      <w:r>
        <w:rPr>
          <w:rFonts w:ascii="Helvetica Neue" w:hAnsi="Helvetica Neue"/>
          <w:sz w:val="23"/>
        </w:rPr>
        <w:t>Même si une personne a modifié ou retiré son consentement à la collecte, l’utilisation ou la divulgation de renseignements, Mitacs peut conserver ces renseignements s’il a des raisons juridiques de le faire.</w:t>
      </w:r>
    </w:p>
    <w:p w14:paraId="043D499C" w14:textId="77777777" w:rsidR="002C02FB" w:rsidRDefault="004C51C8">
      <w:pPr>
        <w:shd w:val="clear" w:color="auto" w:fill="FFFFFF"/>
        <w:spacing w:after="220"/>
        <w:rPr>
          <w:rFonts w:ascii="Helvetica Neue" w:eastAsia="Helvetica Neue" w:hAnsi="Helvetica Neue" w:cs="Helvetica Neue"/>
          <w:sz w:val="23"/>
          <w:szCs w:val="23"/>
        </w:rPr>
      </w:pPr>
      <w:r>
        <w:rPr>
          <w:rFonts w:ascii="Helvetica Neue" w:hAnsi="Helvetica Neue"/>
          <w:sz w:val="23"/>
        </w:rPr>
        <w:t>(dernière mise à jour : janvier 2020)</w:t>
      </w:r>
    </w:p>
    <w:p w14:paraId="3E3D9028" w14:textId="77777777" w:rsidR="002C02FB" w:rsidRDefault="004C51C8">
      <w:pPr>
        <w:shd w:val="clear" w:color="auto" w:fill="FFFFFF"/>
        <w:spacing w:after="220"/>
        <w:jc w:val="center"/>
        <w:rPr>
          <w:rFonts w:ascii="Helvetica Neue" w:eastAsia="Helvetica Neue" w:hAnsi="Helvetica Neue" w:cs="Helvetica Neue"/>
          <w:sz w:val="23"/>
          <w:szCs w:val="23"/>
        </w:rPr>
      </w:pPr>
      <w:r>
        <w:rPr>
          <w:rFonts w:ascii="Helvetica Neue" w:hAnsi="Helvetica Neue"/>
          <w:noProof/>
          <w:sz w:val="23"/>
        </w:rPr>
        <w:drawing>
          <wp:inline distT="114300" distB="114300" distL="114300" distR="114300" wp14:anchorId="7E9B36D4" wp14:editId="23935103">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8"/>
                    <a:srcRect/>
                    <a:stretch>
                      <a:fillRect/>
                    </a:stretch>
                  </pic:blipFill>
                  <pic:spPr>
                    <a:xfrm>
                      <a:off x="0" y="0"/>
                      <a:ext cx="5943600" cy="533400"/>
                    </a:xfrm>
                    <a:prstGeom prst="rect">
                      <a:avLst/>
                    </a:prstGeom>
                    <a:ln/>
                  </pic:spPr>
                </pic:pic>
              </a:graphicData>
            </a:graphic>
          </wp:inline>
        </w:drawing>
      </w:r>
    </w:p>
    <w:p w14:paraId="5AD027FF" w14:textId="77777777" w:rsidR="002C02FB" w:rsidRDefault="002C02FB"/>
    <w:sectPr w:rsidR="002C02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72D"/>
    <w:multiLevelType w:val="multilevel"/>
    <w:tmpl w:val="626E8FDA"/>
    <w:lvl w:ilvl="0">
      <w:start w:val="4"/>
      <w:numFmt w:val="decimal"/>
      <w:lvlText w:val="%1."/>
      <w:lvlJc w:val="left"/>
      <w:pPr>
        <w:ind w:left="720" w:hanging="360"/>
      </w:pPr>
      <w:rPr>
        <w:rFonts w:ascii="Helvetica Neue" w:eastAsia="Helvetica Neue" w:hAnsi="Helvetica Neue" w:cs="Helvetica Neue"/>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2761CE5"/>
    <w:multiLevelType w:val="multilevel"/>
    <w:tmpl w:val="81422182"/>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383D5D"/>
    <w:multiLevelType w:val="multilevel"/>
    <w:tmpl w:val="D9088876"/>
    <w:lvl w:ilvl="0">
      <w:start w:val="1"/>
      <w:numFmt w:val="decimal"/>
      <w:lvlText w:val="%1."/>
      <w:lvlJc w:val="left"/>
      <w:pPr>
        <w:ind w:left="720" w:hanging="360"/>
      </w:pPr>
      <w:rPr>
        <w:rFonts w:ascii="Helvetica Neue" w:eastAsia="Helvetica Neue" w:hAnsi="Helvetica Neue" w:cs="Helvetica Neue"/>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611397950">
    <w:abstractNumId w:val="2"/>
  </w:num>
  <w:num w:numId="2" w16cid:durableId="1895581108">
    <w:abstractNumId w:val="0"/>
  </w:num>
  <w:num w:numId="3" w16cid:durableId="401411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2FB"/>
    <w:rsid w:val="002C02FB"/>
    <w:rsid w:val="004C51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486A"/>
  <w15:docId w15:val="{F4D4E2F9-9C77-4D26-A4E5-06A8CFDE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oipc.b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ipc.bc.ca/about/contact-us/" TargetMode="External"/><Relationship Id="rId5" Type="http://schemas.openxmlformats.org/officeDocument/2006/relationships/hyperlink" Target="mailto:privacy@mitacs.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1816</Words>
  <Characters>9994</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2</cp:revision>
  <dcterms:created xsi:type="dcterms:W3CDTF">2023-11-22T21:05:00Z</dcterms:created>
  <dcterms:modified xsi:type="dcterms:W3CDTF">2023-11-22T21:05:00Z</dcterms:modified>
</cp:coreProperties>
</file>