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8720" w14:textId="77777777" w:rsidR="00F94CA1" w:rsidRPr="00E91F39" w:rsidRDefault="00E91F39">
      <w:pPr>
        <w:pStyle w:val="Titre1"/>
        <w:keepNext w:val="0"/>
        <w:keepLines w:val="0"/>
        <w:shd w:val="clear" w:color="auto" w:fill="FFFFFF"/>
        <w:spacing w:before="0" w:after="240" w:line="306" w:lineRule="auto"/>
        <w:rPr>
          <w:rFonts w:ascii="Helvetica Neue" w:eastAsia="Helvetica Neue" w:hAnsi="Helvetica Neue" w:cs="Helvetica Neue"/>
          <w:color w:val="1AA3DD"/>
          <w:sz w:val="55"/>
          <w:szCs w:val="55"/>
        </w:rPr>
      </w:pPr>
      <w:bookmarkStart w:id="0" w:name="_bfd0185qkg35"/>
      <w:bookmarkEnd w:id="0"/>
      <w:r w:rsidRPr="00E91F39">
        <w:rPr>
          <w:rFonts w:ascii="Helvetica Neue" w:hAnsi="Helvetica Neue"/>
          <w:color w:val="1AA3DD"/>
          <w:sz w:val="55"/>
          <w:szCs w:val="24"/>
        </w:rPr>
        <w:t>Politique sur la recherche autochtone</w:t>
      </w:r>
    </w:p>
    <w:p w14:paraId="4D8BB2B6" w14:textId="77777777" w:rsidR="00F94CA1" w:rsidRDefault="00E91F39">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Mitacs est déterminé à appuyer les projets de recherche qui ont le potentiel de répondre directement aux besoins et aux priorités des communautés autochtones par leurs contributions importantes dans plusieurs secteurs clés (p.ex., la réconciliation, la santé publique, la durabilité de l’environnement). Les Peuples autochtones sont des collègues et des détenteurs de droits, et Mitacs encourage la recherche menée par des autochtones ainsi que la collaboration entre Autochtones et allochtones dans le cadre de </w:t>
      </w:r>
      <w:r>
        <w:rPr>
          <w:rFonts w:ascii="Helvetica Neue" w:hAnsi="Helvetica Neue"/>
          <w:sz w:val="23"/>
        </w:rPr>
        <w:t>propositions innovatrices portant sur ces domaines.</w:t>
      </w:r>
    </w:p>
    <w:p w14:paraId="0353D307" w14:textId="77777777" w:rsidR="00F94CA1" w:rsidRDefault="00E91F39">
      <w:pPr>
        <w:shd w:val="clear" w:color="auto" w:fill="FFFFFF"/>
        <w:spacing w:after="220"/>
        <w:rPr>
          <w:rFonts w:ascii="Helvetica Neue" w:eastAsia="Helvetica Neue" w:hAnsi="Helvetica Neue" w:cs="Helvetica Neue"/>
          <w:sz w:val="23"/>
          <w:szCs w:val="23"/>
        </w:rPr>
      </w:pPr>
      <w:r>
        <w:rPr>
          <w:rFonts w:ascii="Helvetica Neue" w:hAnsi="Helvetica Neue"/>
          <w:sz w:val="23"/>
        </w:rPr>
        <w:t>Inspiré par la</w:t>
      </w:r>
      <w:r>
        <w:t xml:space="preserve"> </w:t>
      </w:r>
      <w:hyperlink r:id="rId7">
        <w:r>
          <w:rPr>
            <w:rFonts w:ascii="Helvetica Neue" w:hAnsi="Helvetica Neue"/>
            <w:color w:val="1AA3DD"/>
            <w:sz w:val="23"/>
          </w:rPr>
          <w:t>Déclaration des Nations Unies sur les droits des peuples autochtones</w:t>
        </w:r>
      </w:hyperlink>
      <w:r>
        <w:rPr>
          <w:rFonts w:ascii="Helvetica Neue" w:hAnsi="Helvetica Neue"/>
          <w:sz w:val="23"/>
        </w:rPr>
        <w:t xml:space="preserve">, les </w:t>
      </w:r>
      <w:hyperlink r:id="rId8">
        <w:r>
          <w:rPr>
            <w:rFonts w:ascii="Helvetica Neue" w:hAnsi="Helvetica Neue"/>
            <w:color w:val="1AA3DD"/>
            <w:sz w:val="23"/>
          </w:rPr>
          <w:t>appels à l’action de la Commission de vérité et réconciliation du Canada</w:t>
        </w:r>
      </w:hyperlink>
      <w:r>
        <w:rPr>
          <w:rFonts w:ascii="Helvetica Neue" w:hAnsi="Helvetica Neue"/>
          <w:sz w:val="23"/>
        </w:rPr>
        <w:t xml:space="preserve">, les </w:t>
      </w:r>
      <w:hyperlink r:id="rId9">
        <w:r>
          <w:rPr>
            <w:rFonts w:ascii="Helvetica Neue" w:hAnsi="Helvetica Neue"/>
            <w:color w:val="1AA3DD"/>
            <w:sz w:val="23"/>
          </w:rPr>
          <w:t>principes PCAP® de l’Assemblée des Premières Nations</w:t>
        </w:r>
      </w:hyperlink>
      <w:r>
        <w:t xml:space="preserve">, le </w:t>
      </w:r>
      <w:hyperlink r:id="rId10">
        <w:r>
          <w:rPr>
            <w:rFonts w:ascii="Helvetica Neue" w:hAnsi="Helvetica Neue"/>
            <w:color w:val="1AA3DD"/>
            <w:sz w:val="23"/>
          </w:rPr>
          <w:t xml:space="preserve">Guide for </w:t>
        </w:r>
        <w:proofErr w:type="spellStart"/>
        <w:r>
          <w:rPr>
            <w:rFonts w:ascii="Helvetica Neue" w:hAnsi="Helvetica Neue"/>
            <w:color w:val="1AA3DD"/>
            <w:sz w:val="23"/>
          </w:rPr>
          <w:t>Researchers</w:t>
        </w:r>
        <w:proofErr w:type="spellEnd"/>
      </w:hyperlink>
      <w:r>
        <w:t xml:space="preserve"> de Inuit </w:t>
      </w:r>
      <w:proofErr w:type="spellStart"/>
      <w:r>
        <w:t>Tapiriit</w:t>
      </w:r>
      <w:proofErr w:type="spellEnd"/>
      <w:r>
        <w:t xml:space="preserve"> </w:t>
      </w:r>
      <w:proofErr w:type="spellStart"/>
      <w:r>
        <w:t>Kanatami</w:t>
      </w:r>
      <w:proofErr w:type="spellEnd"/>
      <w:r>
        <w:t xml:space="preserve"> et du Nunavut Research Institute, les </w:t>
      </w:r>
      <w:hyperlink r:id="rId11">
        <w:r>
          <w:rPr>
            <w:rFonts w:ascii="Helvetica Neue" w:hAnsi="Helvetica Neue"/>
            <w:color w:val="1AA3DD"/>
            <w:sz w:val="23"/>
          </w:rPr>
          <w:t xml:space="preserve">Principles of </w:t>
        </w:r>
        <w:proofErr w:type="spellStart"/>
        <w:r>
          <w:rPr>
            <w:rFonts w:ascii="Helvetica Neue" w:hAnsi="Helvetica Neue"/>
            <w:color w:val="1AA3DD"/>
            <w:sz w:val="23"/>
          </w:rPr>
          <w:t>Ethical</w:t>
        </w:r>
        <w:proofErr w:type="spellEnd"/>
        <w:r>
          <w:rPr>
            <w:rFonts w:ascii="Helvetica Neue" w:hAnsi="Helvetica Neue"/>
            <w:color w:val="1AA3DD"/>
            <w:sz w:val="23"/>
          </w:rPr>
          <w:t xml:space="preserve"> Métis Research</w:t>
        </w:r>
      </w:hyperlink>
      <w:r>
        <w:t xml:space="preserve">, les </w:t>
      </w:r>
      <w:hyperlink r:id="rId12">
        <w:r>
          <w:rPr>
            <w:rFonts w:ascii="Helvetica Neue" w:hAnsi="Helvetica Neue"/>
            <w:color w:val="1AA3DD"/>
            <w:sz w:val="23"/>
          </w:rPr>
          <w:t>Lignes directrices pour l’évaluation du mérite de la recherche autochtone du Conseil de recherches en sciences humaines</w:t>
        </w:r>
      </w:hyperlink>
      <w:r>
        <w:t>, ainsi que l’</w:t>
      </w:r>
      <w:hyperlink r:id="rId13">
        <w:r>
          <w:rPr>
            <w:rFonts w:ascii="Helvetica Neue" w:hAnsi="Helvetica Neue"/>
            <w:color w:val="1AA3DD"/>
            <w:sz w:val="23"/>
          </w:rPr>
          <w:t>Énoncé de politique des trois conseils :</w:t>
        </w:r>
      </w:hyperlink>
      <w:hyperlink r:id="rId14">
        <w:r>
          <w:rPr>
            <w:rFonts w:ascii="Helvetica Neue" w:hAnsi="Helvetica Neue"/>
            <w:color w:val="1AA3DD"/>
            <w:sz w:val="23"/>
          </w:rPr>
          <w:t>Éthique de la recherche avec des êtres humains, chapitre 9 :</w:t>
        </w:r>
      </w:hyperlink>
      <w:hyperlink r:id="rId15">
        <w:r>
          <w:rPr>
            <w:rFonts w:ascii="Helvetica Neue" w:hAnsi="Helvetica Neue"/>
            <w:color w:val="1AA3DD"/>
            <w:sz w:val="23"/>
          </w:rPr>
          <w:t>Recherche impliquant les Premières Nations, les Inuits ou les Métis du Canada</w:t>
        </w:r>
      </w:hyperlink>
      <w:r>
        <w:t xml:space="preserve">, </w:t>
      </w:r>
      <w:r>
        <w:rPr>
          <w:b/>
          <w:bCs/>
        </w:rPr>
        <w:t>Mitacs a développé ses propres lignes directrices pour les projets de recherche autochtones.</w:t>
      </w:r>
      <w:r>
        <w:rPr>
          <w:rFonts w:ascii="Helvetica Neue" w:hAnsi="Helvetica Neue"/>
          <w:sz w:val="23"/>
        </w:rPr>
        <w:t xml:space="preserve"> Ces dernières s’appliquent aux projets qui :</w:t>
      </w:r>
    </w:p>
    <w:p w14:paraId="41D35E07" w14:textId="77777777" w:rsidR="00F94CA1" w:rsidRDefault="00E91F39">
      <w:pPr>
        <w:numPr>
          <w:ilvl w:val="0"/>
          <w:numId w:val="2"/>
        </w:numPr>
        <w:ind w:left="1020"/>
      </w:pPr>
      <w:proofErr w:type="gramStart"/>
      <w:r>
        <w:rPr>
          <w:rFonts w:ascii="Helvetica Neue" w:hAnsi="Helvetica Neue"/>
          <w:b/>
          <w:sz w:val="23"/>
        </w:rPr>
        <w:t>impliquent</w:t>
      </w:r>
      <w:proofErr w:type="gramEnd"/>
      <w:r>
        <w:rPr>
          <w:rFonts w:ascii="Helvetica Neue" w:hAnsi="Helvetica Neue"/>
          <w:b/>
          <w:sz w:val="23"/>
        </w:rPr>
        <w:t xml:space="preserve"> les communautés autochtones ou ont un impact sur elles;</w:t>
      </w:r>
    </w:p>
    <w:p w14:paraId="64CB0C02" w14:textId="77777777" w:rsidR="00F94CA1" w:rsidRDefault="00E91F39">
      <w:pPr>
        <w:numPr>
          <w:ilvl w:val="0"/>
          <w:numId w:val="2"/>
        </w:numPr>
        <w:ind w:left="1020"/>
      </w:pPr>
      <w:proofErr w:type="gramStart"/>
      <w:r>
        <w:rPr>
          <w:rFonts w:ascii="Helvetica Neue" w:hAnsi="Helvetica Neue"/>
          <w:b/>
          <w:sz w:val="23"/>
        </w:rPr>
        <w:t>impliquent</w:t>
      </w:r>
      <w:proofErr w:type="gramEnd"/>
      <w:r>
        <w:rPr>
          <w:rFonts w:ascii="Helvetica Neue" w:hAnsi="Helvetica Neue"/>
          <w:b/>
          <w:sz w:val="23"/>
        </w:rPr>
        <w:t xml:space="preserve"> des connaissances autochtones ou traditionnelles, ou l’héritage culturel autochtone;</w:t>
      </w:r>
    </w:p>
    <w:p w14:paraId="5C9894EC" w14:textId="77777777" w:rsidR="00F94CA1" w:rsidRDefault="00E91F39">
      <w:pPr>
        <w:numPr>
          <w:ilvl w:val="0"/>
          <w:numId w:val="2"/>
        </w:numPr>
        <w:spacing w:after="220"/>
        <w:ind w:left="1020"/>
      </w:pPr>
      <w:proofErr w:type="gramStart"/>
      <w:r>
        <w:rPr>
          <w:rFonts w:ascii="Helvetica Neue" w:hAnsi="Helvetica Neue"/>
          <w:b/>
          <w:sz w:val="23"/>
        </w:rPr>
        <w:t>impliquent</w:t>
      </w:r>
      <w:proofErr w:type="gramEnd"/>
      <w:r>
        <w:rPr>
          <w:rFonts w:ascii="Helvetica Neue" w:hAnsi="Helvetica Neue"/>
          <w:b/>
          <w:sz w:val="23"/>
        </w:rPr>
        <w:t xml:space="preserve"> des personnes autochtones en tant que participantes à une étude de recherche.</w:t>
      </w:r>
    </w:p>
    <w:p w14:paraId="649606A9" w14:textId="77777777" w:rsidR="00F94CA1" w:rsidRDefault="00E91F39">
      <w:pPr>
        <w:shd w:val="clear" w:color="auto" w:fill="FFFFFF"/>
        <w:spacing w:after="220"/>
        <w:rPr>
          <w:rFonts w:ascii="Helvetica Neue" w:eastAsia="Helvetica Neue" w:hAnsi="Helvetica Neue" w:cs="Helvetica Neue"/>
          <w:i/>
          <w:sz w:val="23"/>
          <w:szCs w:val="23"/>
        </w:rPr>
      </w:pPr>
      <w:r>
        <w:rPr>
          <w:rFonts w:ascii="Helvetica Neue" w:hAnsi="Helvetica Neue"/>
          <w:i/>
          <w:sz w:val="23"/>
        </w:rPr>
        <w:t>Ces projets sont définis comme étant des projets de recherche autochtones par Mitacs, même si la recherche autochtone n’est pas le seul objet du projet.</w:t>
      </w:r>
    </w:p>
    <w:p w14:paraId="6A8A74EF" w14:textId="77777777" w:rsidR="00F94CA1" w:rsidRDefault="00E91F39">
      <w:pPr>
        <w:shd w:val="clear" w:color="auto" w:fill="FFFFFF"/>
        <w:rPr>
          <w:rFonts w:ascii="Helvetica Neue" w:eastAsia="Helvetica Neue" w:hAnsi="Helvetica Neue" w:cs="Helvetica Neue"/>
          <w:sz w:val="23"/>
          <w:szCs w:val="23"/>
        </w:rPr>
      </w:pPr>
      <w:r>
        <w:pict w14:anchorId="3F4AEB28">
          <v:rect id="_x0000_i1025" style="width:0;height:1.5pt" o:hralign="center" o:hrstd="t" o:hr="t" fillcolor="#a0a0a0" stroked="f"/>
        </w:pict>
      </w:r>
    </w:p>
    <w:p w14:paraId="5CB4D21C" w14:textId="77777777" w:rsidR="00F94CA1" w:rsidRDefault="00E91F39">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bookmarkStart w:id="1" w:name="_sx8qflw6qvgi"/>
      <w:bookmarkEnd w:id="1"/>
      <w:r>
        <w:rPr>
          <w:rFonts w:ascii="Helvetica Neue" w:hAnsi="Helvetica Neue"/>
          <w:color w:val="000000"/>
          <w:sz w:val="30"/>
        </w:rPr>
        <w:t>Critères supplémentaires pour la recherche impliquant des personnes autochtones</w:t>
      </w:r>
    </w:p>
    <w:p w14:paraId="1FED5B7C" w14:textId="77777777" w:rsidR="00F94CA1" w:rsidRDefault="00E91F39">
      <w:pPr>
        <w:shd w:val="clear" w:color="auto" w:fill="FFFFFF"/>
        <w:rPr>
          <w:rFonts w:ascii="Helvetica Neue" w:eastAsia="Helvetica Neue" w:hAnsi="Helvetica Neue" w:cs="Helvetica Neue"/>
          <w:sz w:val="23"/>
          <w:szCs w:val="23"/>
        </w:rPr>
      </w:pPr>
      <w:r>
        <w:rPr>
          <w:rFonts w:ascii="Helvetica Neue" w:hAnsi="Helvetica Neue"/>
          <w:sz w:val="23"/>
        </w:rPr>
        <w:t xml:space="preserve"> </w:t>
      </w:r>
    </w:p>
    <w:p w14:paraId="6FDB5951" w14:textId="77777777" w:rsidR="00F94CA1" w:rsidRDefault="00E91F39">
      <w:pPr>
        <w:shd w:val="clear" w:color="auto" w:fill="FFFFFF"/>
        <w:spacing w:after="220"/>
        <w:rPr>
          <w:rFonts w:ascii="Helvetica Neue" w:eastAsia="Helvetica Neue" w:hAnsi="Helvetica Neue" w:cs="Helvetica Neue"/>
          <w:sz w:val="23"/>
          <w:szCs w:val="23"/>
        </w:rPr>
      </w:pPr>
      <w:r>
        <w:rPr>
          <w:rFonts w:ascii="Helvetica Neue" w:hAnsi="Helvetica Neue"/>
          <w:sz w:val="23"/>
        </w:rPr>
        <w:t>Mitacs s’attend à ce que les projets impliquant des personnes autochtones soient guidés par le principe de « rien sur nous sans nous ». Plus précisément, les projets de recherche autochtones doivent répondre aux exigences suivantes :</w:t>
      </w:r>
    </w:p>
    <w:p w14:paraId="4CFE7E3F" w14:textId="77777777" w:rsidR="00F94CA1" w:rsidRDefault="00E91F39">
      <w:pPr>
        <w:numPr>
          <w:ilvl w:val="0"/>
          <w:numId w:val="1"/>
        </w:numPr>
        <w:ind w:left="1020"/>
      </w:pPr>
      <w:r>
        <w:rPr>
          <w:rFonts w:ascii="Helvetica Neue" w:hAnsi="Helvetica Neue"/>
          <w:b/>
          <w:sz w:val="23"/>
        </w:rPr>
        <w:lastRenderedPageBreak/>
        <w:t>Soutien et respect de la communauté.</w:t>
      </w:r>
      <w:r>
        <w:rPr>
          <w:rFonts w:ascii="Helvetica Neue" w:hAnsi="Helvetica Neue"/>
          <w:sz w:val="23"/>
        </w:rPr>
        <w:t xml:space="preserve"> Les propositions doivent démontrer avoir l’appui des communautés autochtones qui pourraient être touchées par le projet, ou qui ont des droits ou des enjeux dans le cadre du projet. Les projets doivent être développés de façon consciente, respectueuse, et qui reflète les besoins, les intérêts et les protocoles culturels de chaque communauté.</w:t>
      </w:r>
    </w:p>
    <w:p w14:paraId="5A3E209C" w14:textId="77777777" w:rsidR="00F94CA1" w:rsidRDefault="00E91F39">
      <w:pPr>
        <w:numPr>
          <w:ilvl w:val="0"/>
          <w:numId w:val="1"/>
        </w:numPr>
        <w:ind w:left="1020"/>
      </w:pPr>
      <w:r>
        <w:rPr>
          <w:rFonts w:ascii="Helvetica Neue" w:hAnsi="Helvetica Neue"/>
          <w:b/>
          <w:sz w:val="23"/>
        </w:rPr>
        <w:t>Pratiques collaboratives.</w:t>
      </w:r>
      <w:r>
        <w:rPr>
          <w:rFonts w:ascii="Helvetica Neue" w:hAnsi="Helvetica Neue"/>
          <w:sz w:val="23"/>
        </w:rPr>
        <w:t xml:space="preserve"> Les propositions doivent présenter la manière dont les communautés autochtones ont participé à l’élaboration du plan de recherche proposé dès le début, ainsi que la façon dont les Aînés, Aînées et les Détentrices et Détenteurs du savoir ont été directement impliqués. Les projets doivent décrire la participation prévue des communautés impliquées ou touchées tout au long du projet de recherche.</w:t>
      </w:r>
    </w:p>
    <w:p w14:paraId="1C75E5D4" w14:textId="77777777" w:rsidR="00F94CA1" w:rsidRDefault="00E91F39">
      <w:pPr>
        <w:numPr>
          <w:ilvl w:val="0"/>
          <w:numId w:val="1"/>
        </w:numPr>
        <w:ind w:left="1020"/>
      </w:pPr>
      <w:r>
        <w:rPr>
          <w:rFonts w:ascii="Helvetica Neue" w:hAnsi="Helvetica Neue"/>
          <w:b/>
          <w:sz w:val="23"/>
        </w:rPr>
        <w:t>Accès et utilisation.</w:t>
      </w:r>
      <w:r>
        <w:rPr>
          <w:rFonts w:ascii="Helvetica Neue" w:hAnsi="Helvetica Neue"/>
          <w:sz w:val="23"/>
        </w:rPr>
        <w:t xml:space="preserve"> Les propositions doivent décrire les plans concernant l’accès des communautés autochtones aux connaissances et aux données générées par le projet, ainsi que leur utilisation et leur gouvernance.</w:t>
      </w:r>
    </w:p>
    <w:p w14:paraId="71FEB1BB" w14:textId="77777777" w:rsidR="00F94CA1" w:rsidRDefault="00E91F39">
      <w:pPr>
        <w:numPr>
          <w:ilvl w:val="0"/>
          <w:numId w:val="1"/>
        </w:numPr>
        <w:spacing w:after="220"/>
        <w:ind w:left="1020"/>
      </w:pPr>
      <w:r>
        <w:rPr>
          <w:rFonts w:ascii="Helvetica Neue" w:hAnsi="Helvetica Neue"/>
          <w:b/>
          <w:sz w:val="23"/>
        </w:rPr>
        <w:t>Expérience et expertise.</w:t>
      </w:r>
      <w:r>
        <w:rPr>
          <w:rFonts w:ascii="Helvetica Neue" w:hAnsi="Helvetica Neue"/>
          <w:sz w:val="23"/>
        </w:rPr>
        <w:t xml:space="preserve"> </w:t>
      </w:r>
      <w:r>
        <w:rPr>
          <w:rFonts w:ascii="Helvetica Neue" w:hAnsi="Helvetica Neue"/>
          <w:sz w:val="23"/>
        </w:rPr>
        <w:t>Les candidates et candidats doivent fournir des renseignements sur l’expérience ou l’expertise de l’équipe de recherche en matière de recherche autochtone et sur les plans pour remédier aux lacunes, le cas échéant. Si les stagiaires travaillent avec des communautés autochtones, les renseignements au sujet de la formation, de l’accompagnement et du mentorat que recevront les stagiaires des communautés autochtones ainsi que des représentants des établissements postsecondaires doivent être fournis.</w:t>
      </w:r>
    </w:p>
    <w:p w14:paraId="52F54A38" w14:textId="77777777" w:rsidR="00F94CA1" w:rsidRDefault="00E91F39">
      <w:pPr>
        <w:shd w:val="clear" w:color="auto" w:fill="FFFFFF"/>
        <w:spacing w:after="220"/>
        <w:rPr>
          <w:rFonts w:ascii="Helvetica Neue" w:eastAsia="Helvetica Neue" w:hAnsi="Helvetica Neue" w:cs="Helvetica Neue"/>
          <w:sz w:val="23"/>
          <w:szCs w:val="23"/>
        </w:rPr>
      </w:pPr>
      <w:r>
        <w:rPr>
          <w:rFonts w:ascii="Helvetica Neue" w:hAnsi="Helvetica Neue"/>
          <w:sz w:val="23"/>
        </w:rPr>
        <w:t>En plus de ces critères, Mitacs s’attend également à ce que les candidates et candidats suivent toutes les politiques institutionnelles applicables en ce qui concerne la recherche avec les communautés autochtones et les lignes directrices fournies au chapitre 9 de l’Énoncé de politique des trois conseils : La recherche impliquant les Premières Nations, les Inuits ou les Métis du Canada (EPTC 2).</w:t>
      </w:r>
    </w:p>
    <w:p w14:paraId="272D26C7" w14:textId="77777777" w:rsidR="00F94CA1" w:rsidRDefault="00E91F39">
      <w:pPr>
        <w:shd w:val="clear" w:color="auto" w:fill="FFFFFF"/>
        <w:spacing w:after="220"/>
        <w:jc w:val="center"/>
        <w:rPr>
          <w:rFonts w:ascii="Helvetica Neue" w:eastAsia="Helvetica Neue" w:hAnsi="Helvetica Neue" w:cs="Helvetica Neue"/>
          <w:sz w:val="23"/>
          <w:szCs w:val="23"/>
        </w:rPr>
      </w:pPr>
      <w:r>
        <w:rPr>
          <w:rFonts w:ascii="Helvetica Neue" w:hAnsi="Helvetica Neue"/>
          <w:noProof/>
          <w:sz w:val="23"/>
        </w:rPr>
        <w:drawing>
          <wp:inline distT="114300" distB="114300" distL="114300" distR="114300" wp14:anchorId="382C265D" wp14:editId="10C8868B">
            <wp:extent cx="5943600" cy="533400"/>
            <wp:effectExtent l="0" t="0" r="0" b="0"/>
            <wp:docPr id="1" name="image1.png" descr="Government logos"/>
            <wp:cNvGraphicFramePr/>
            <a:graphic xmlns:a="http://schemas.openxmlformats.org/drawingml/2006/main">
              <a:graphicData uri="http://schemas.openxmlformats.org/drawingml/2006/picture">
                <pic:pic xmlns:pic="http://schemas.openxmlformats.org/drawingml/2006/picture">
                  <pic:nvPicPr>
                    <pic:cNvPr id="0" name="image1.png" descr="Government logos"/>
                    <pic:cNvPicPr preferRelativeResize="0"/>
                  </pic:nvPicPr>
                  <pic:blipFill>
                    <a:blip r:embed="rId16"/>
                    <a:srcRect/>
                    <a:stretch>
                      <a:fillRect/>
                    </a:stretch>
                  </pic:blipFill>
                  <pic:spPr>
                    <a:xfrm>
                      <a:off x="0" y="0"/>
                      <a:ext cx="5943600" cy="533400"/>
                    </a:xfrm>
                    <a:prstGeom prst="rect">
                      <a:avLst/>
                    </a:prstGeom>
                    <a:ln/>
                  </pic:spPr>
                </pic:pic>
              </a:graphicData>
            </a:graphic>
          </wp:inline>
        </w:drawing>
      </w:r>
    </w:p>
    <w:p w14:paraId="0A35715E" w14:textId="77777777" w:rsidR="00F94CA1" w:rsidRDefault="00F94CA1"/>
    <w:sectPr w:rsidR="00F94CA1">
      <w:head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03DB" w14:textId="77777777" w:rsidR="00E91F39" w:rsidRDefault="00E91F39">
      <w:pPr>
        <w:spacing w:line="240" w:lineRule="auto"/>
      </w:pPr>
      <w:r>
        <w:separator/>
      </w:r>
    </w:p>
  </w:endnote>
  <w:endnote w:type="continuationSeparator" w:id="0">
    <w:p w14:paraId="686AB920" w14:textId="77777777" w:rsidR="00E91F39" w:rsidRDefault="00E91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E6A6E" w14:textId="77777777" w:rsidR="00E91F39" w:rsidRDefault="00E91F39">
      <w:pPr>
        <w:spacing w:line="240" w:lineRule="auto"/>
      </w:pPr>
      <w:r>
        <w:separator/>
      </w:r>
    </w:p>
  </w:footnote>
  <w:footnote w:type="continuationSeparator" w:id="0">
    <w:p w14:paraId="65DC880F" w14:textId="77777777" w:rsidR="00E91F39" w:rsidRDefault="00E91F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2CE0" w14:textId="77777777" w:rsidR="00F94CA1" w:rsidRDefault="00F94C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5104B"/>
    <w:multiLevelType w:val="multilevel"/>
    <w:tmpl w:val="9C26C54C"/>
    <w:lvl w:ilvl="0">
      <w:start w:val="1"/>
      <w:numFmt w:val="decimal"/>
      <w:lvlText w:val="%1."/>
      <w:lvlJc w:val="left"/>
      <w:pPr>
        <w:ind w:left="720" w:hanging="360"/>
      </w:pPr>
      <w:rPr>
        <w:rFonts w:ascii="Helvetica Neue" w:eastAsia="Helvetica Neue" w:hAnsi="Helvetica Neue" w:cs="Helvetica Neue"/>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77CB7A79"/>
    <w:multiLevelType w:val="multilevel"/>
    <w:tmpl w:val="9754DADE"/>
    <w:lvl w:ilvl="0">
      <w:start w:val="1"/>
      <w:numFmt w:val="bullet"/>
      <w:lvlText w:val="■"/>
      <w:lvlJc w:val="left"/>
      <w:pPr>
        <w:ind w:left="720" w:hanging="360"/>
      </w:pPr>
      <w:rPr>
        <w:rFonts w:ascii="Helvetica Neue" w:eastAsia="Helvetica Neue" w:hAnsi="Helvetica Neue" w:cs="Helvetica Neu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9253687">
    <w:abstractNumId w:val="0"/>
  </w:num>
  <w:num w:numId="2" w16cid:durableId="19420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824CEC5-AB5F-4BEB-953D-9CE013FDCFBE}"/>
    <w:docVar w:name="dgnword-eventsink" w:val="2767397093728"/>
  </w:docVars>
  <w:rsids>
    <w:rsidRoot w:val="00F94CA1"/>
    <w:rsid w:val="00CD44A6"/>
    <w:rsid w:val="00E91F39"/>
    <w:rsid w:val="00F94C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F9E778"/>
  <w15:docId w15:val="{64DF6880-DC08-4ADE-92AC-841CB00A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ublications.gc.ca/collections/collection_2015/trc/IR4-8-2015-fra.pdf" TargetMode="External"/><Relationship Id="rId13" Type="http://schemas.openxmlformats.org/officeDocument/2006/relationships/hyperlink" Target="https://ethics.gc.ca/fra/tcps2-eptc2_2018_chapter9-chapitre9.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org/development/desa/indigenouspeoples/declaration-on-the-rights-of-indigenous-peoples.html" TargetMode="External"/><Relationship Id="rId12" Type="http://schemas.openxmlformats.org/officeDocument/2006/relationships/hyperlink" Target="https://www.sshrc-crsh.gc.ca/funding-financement/merit_review-evaluation_du_merite/guidelines_research-lignes_directrices_recherche-eng.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nim.sehc.com/SEHCFnim/media/FNIM/resources/M%C3%A9tis%20Centre/2011_04_ethics.pdf?ext=.pdf" TargetMode="External"/><Relationship Id="rId5" Type="http://schemas.openxmlformats.org/officeDocument/2006/relationships/footnotes" Target="footnotes.xml"/><Relationship Id="rId15" Type="http://schemas.openxmlformats.org/officeDocument/2006/relationships/hyperlink" Target="https://ethics.gc.ca/fra/tcps2-eptc2_2018_chapter9-chapitre9.html" TargetMode="External"/><Relationship Id="rId10" Type="http://schemas.openxmlformats.org/officeDocument/2006/relationships/hyperlink" Target="https://www.nri.nu.ca/sites/default/files/public/files/06-068_itk_nrr_bookle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nigc.ca/fr/les-principes-de-pcap-des-premieres-nations/" TargetMode="External"/><Relationship Id="rId14" Type="http://schemas.openxmlformats.org/officeDocument/2006/relationships/hyperlink" Target="https://ethics.gc.ca/fra/tcps2-eptc2_2018_chapter9-chapitre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770</Words>
  <Characters>4239</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Julie-Andrée Marcoux</dc:creator>
  <cp:lastModifiedBy>Julie-Andrée Marcoux</cp:lastModifiedBy>
  <cp:revision>3</cp:revision>
  <dcterms:created xsi:type="dcterms:W3CDTF">2023-11-22T20:58:00Z</dcterms:created>
  <dcterms:modified xsi:type="dcterms:W3CDTF">2023-11-22T20:58:00Z</dcterms:modified>
</cp:coreProperties>
</file>