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A8C1" w14:textId="77777777" w:rsidR="0093601B" w:rsidRPr="00605F2E" w:rsidRDefault="00605F2E">
      <w:pPr>
        <w:pStyle w:val="Titre1"/>
        <w:keepNext w:val="0"/>
        <w:keepLines w:val="0"/>
        <w:shd w:val="clear" w:color="auto" w:fill="FFFFFF"/>
        <w:spacing w:before="0" w:after="240" w:line="306" w:lineRule="auto"/>
        <w:rPr>
          <w:rFonts w:ascii="Helvetica Neue" w:eastAsia="Helvetica Neue" w:hAnsi="Helvetica Neue" w:cs="Helvetica Neue"/>
          <w:color w:val="1AA3DD"/>
          <w:sz w:val="57"/>
          <w:szCs w:val="57"/>
        </w:rPr>
      </w:pPr>
      <w:bookmarkStart w:id="0" w:name="_2qfgdrqdjjex"/>
      <w:bookmarkEnd w:id="0"/>
      <w:r w:rsidRPr="00605F2E">
        <w:rPr>
          <w:rFonts w:ascii="Helvetica Neue" w:hAnsi="Helvetica Neue"/>
          <w:color w:val="1AA3DD"/>
          <w:sz w:val="57"/>
          <w:szCs w:val="28"/>
        </w:rPr>
        <w:t>Politique sur l’intégrité en recherche de Mitacs</w:t>
      </w:r>
    </w:p>
    <w:p w14:paraId="6532C230" w14:textId="77777777" w:rsidR="0093601B" w:rsidRDefault="00605F2E">
      <w:pPr>
        <w:shd w:val="clear" w:color="auto" w:fill="FFFFFF"/>
        <w:spacing w:after="220"/>
        <w:rPr>
          <w:rFonts w:ascii="Helvetica Neue" w:eastAsia="Helvetica Neue" w:hAnsi="Helvetica Neue" w:cs="Helvetica Neue"/>
          <w:sz w:val="23"/>
          <w:szCs w:val="23"/>
        </w:rPr>
      </w:pPr>
      <w:r>
        <w:rPr>
          <w:rFonts w:ascii="Helvetica Neue" w:hAnsi="Helvetica Neue"/>
          <w:sz w:val="23"/>
        </w:rPr>
        <w:t>Mitacs collabore avec des établissements d’enseignement dans toutes les provinces à travers le Canada et respecte les politiques uniques de chaque établissement à l’égard de l’intégrité en recherche. Toutes les parties qui participent à des projets de recherche bénéficiant du soutien des programmes de Mitacs doivent se conformer aux politiques de l’établissement d’enseignement d’accueil canadien sur la conduite des travaux de recherche et des activités d’érudition. Cela comprend notamment les politiques sur</w:t>
      </w:r>
      <w:r>
        <w:rPr>
          <w:rFonts w:ascii="Helvetica Neue" w:hAnsi="Helvetica Neue"/>
          <w:sz w:val="23"/>
        </w:rPr>
        <w:t xml:space="preserve"> la recherche comportant des sujets humains et animaux, ainsi que celles portant sur la recherche de premier cycle, les études des cycles supérieures, les collaborations avec le secteur privé, et les stages postdoctoraux.</w:t>
      </w:r>
    </w:p>
    <w:p w14:paraId="67508F9D" w14:textId="77777777" w:rsidR="0093601B" w:rsidRDefault="00605F2E">
      <w:pPr>
        <w:shd w:val="clear" w:color="auto" w:fill="FFFFFF"/>
        <w:spacing w:after="220"/>
        <w:rPr>
          <w:rFonts w:ascii="Helvetica Neue" w:eastAsia="Helvetica Neue" w:hAnsi="Helvetica Neue" w:cs="Helvetica Neue"/>
          <w:sz w:val="23"/>
          <w:szCs w:val="23"/>
        </w:rPr>
      </w:pPr>
      <w:r>
        <w:rPr>
          <w:rFonts w:ascii="Helvetica Neue" w:hAnsi="Helvetica Neue"/>
          <w:sz w:val="23"/>
        </w:rPr>
        <w:t>Toute partie qui affirme qu’il y a eu inconduite lors de travaux de recherche effectués dans le cadre d’un projet appuyé par Mitacs doit rapporter ces allégations aux établissements d’enseignement d’accueil canadiens. Elles seront traitées par les établissements d’enseignement conformément à leurs propres politiques et processus. Si des renseignements relatifs à une violation des principes de la conduite responsable de la recherche sont portés à l’attention de Mitacs, Mitacs enverra les renseignements à l’é</w:t>
      </w:r>
      <w:r>
        <w:rPr>
          <w:rFonts w:ascii="Helvetica Neue" w:hAnsi="Helvetica Neue"/>
          <w:sz w:val="23"/>
        </w:rPr>
        <w:t>tablissement d’enseignement postsecondaire d’accueil</w:t>
      </w:r>
    </w:p>
    <w:p w14:paraId="18A2749F" w14:textId="77777777" w:rsidR="0093601B" w:rsidRDefault="00605F2E">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Si un établissement d’enseignement estime qu’il y a eu inconduite dans la recherche de la part d’un·e participant·e à un programme, la partie concernée pourrait faire l’objet de </w:t>
      </w:r>
      <w:proofErr w:type="gramStart"/>
      <w:r>
        <w:rPr>
          <w:rFonts w:ascii="Helvetica Neue" w:hAnsi="Helvetica Neue"/>
          <w:sz w:val="23"/>
        </w:rPr>
        <w:t>mesures</w:t>
      </w:r>
      <w:proofErr w:type="gramEnd"/>
      <w:r>
        <w:rPr>
          <w:rFonts w:ascii="Helvetica Neue" w:hAnsi="Helvetica Neue"/>
          <w:sz w:val="23"/>
        </w:rPr>
        <w:t xml:space="preserve"> additionnelles de Mitacs. Mitacs exige que les établissements d’enseignement d’accueil déclarent les incidents prouvés d’inconduite dans la recherche à Mitacs.</w:t>
      </w:r>
    </w:p>
    <w:p w14:paraId="2B60B188" w14:textId="77777777" w:rsidR="0093601B" w:rsidRDefault="00605F2E">
      <w:pPr>
        <w:shd w:val="clear" w:color="auto" w:fill="FFFFFF"/>
        <w:spacing w:after="220"/>
        <w:rPr>
          <w:rFonts w:ascii="Helvetica Neue" w:eastAsia="Helvetica Neue" w:hAnsi="Helvetica Neue" w:cs="Helvetica Neue"/>
          <w:sz w:val="23"/>
          <w:szCs w:val="23"/>
        </w:rPr>
      </w:pPr>
      <w:r>
        <w:rPr>
          <w:rFonts w:ascii="Helvetica Neue" w:hAnsi="Helvetica Neue"/>
          <w:sz w:val="23"/>
        </w:rPr>
        <w:t>Toutes les parties qui effectuent de la recherche en lien avec des programmes de Mitacs doivent également se conformer aux lois et règlements applicables du gouvernement, qui comprennent, sans toutefois s’y limiter :</w:t>
      </w:r>
    </w:p>
    <w:p w14:paraId="378789F8" w14:textId="77777777" w:rsidR="0093601B" w:rsidRDefault="00605F2E">
      <w:pPr>
        <w:numPr>
          <w:ilvl w:val="0"/>
          <w:numId w:val="1"/>
        </w:numPr>
        <w:ind w:left="1020"/>
      </w:pPr>
      <w:hyperlink r:id="rId5">
        <w:r>
          <w:rPr>
            <w:rFonts w:ascii="Helvetica Neue" w:hAnsi="Helvetica Neue"/>
            <w:color w:val="1AA3DD"/>
            <w:sz w:val="23"/>
          </w:rPr>
          <w:t>Loi canadienne sur l’évaluation environnementale</w:t>
        </w:r>
      </w:hyperlink>
    </w:p>
    <w:p w14:paraId="65C4C795" w14:textId="77777777" w:rsidR="0093601B" w:rsidRDefault="00605F2E">
      <w:pPr>
        <w:numPr>
          <w:ilvl w:val="0"/>
          <w:numId w:val="1"/>
        </w:numPr>
        <w:ind w:left="1020"/>
      </w:pPr>
      <w:hyperlink r:id="rId6">
        <w:r>
          <w:rPr>
            <w:rFonts w:ascii="Helvetica Neue" w:hAnsi="Helvetica Neue"/>
            <w:color w:val="1AA3DD"/>
            <w:sz w:val="23"/>
          </w:rPr>
          <w:t>Règlements de la Commission canadienne de sûreté nucléaire</w:t>
        </w:r>
      </w:hyperlink>
    </w:p>
    <w:p w14:paraId="49298CD3" w14:textId="77777777" w:rsidR="0093601B" w:rsidRDefault="00605F2E">
      <w:pPr>
        <w:numPr>
          <w:ilvl w:val="0"/>
          <w:numId w:val="1"/>
        </w:numPr>
        <w:ind w:left="1020"/>
      </w:pPr>
      <w:hyperlink r:id="rId7">
        <w:r>
          <w:rPr>
            <w:rFonts w:ascii="Helvetica Neue" w:hAnsi="Helvetica Neue"/>
            <w:color w:val="1AA3DD"/>
            <w:sz w:val="23"/>
          </w:rPr>
          <w:t>Programme des marchandises contrôlées et Règlement sur les marchandises contrôlées</w:t>
        </w:r>
      </w:hyperlink>
    </w:p>
    <w:p w14:paraId="5A0C517E" w14:textId="77777777" w:rsidR="0093601B" w:rsidRDefault="00605F2E">
      <w:pPr>
        <w:numPr>
          <w:ilvl w:val="0"/>
          <w:numId w:val="1"/>
        </w:numPr>
        <w:spacing w:after="220"/>
        <w:ind w:left="1020"/>
      </w:pPr>
      <w:hyperlink r:id="rId8">
        <w:r>
          <w:rPr>
            <w:rFonts w:ascii="Helvetica Neue" w:hAnsi="Helvetica Neue"/>
            <w:color w:val="1AA3DD"/>
            <w:sz w:val="23"/>
          </w:rPr>
          <w:t>Loi et Règlement sur les aliments et drogues</w:t>
        </w:r>
      </w:hyperlink>
    </w:p>
    <w:p w14:paraId="259F3C9F" w14:textId="77777777" w:rsidR="0093601B" w:rsidRDefault="00605F2E">
      <w:pPr>
        <w:shd w:val="clear" w:color="auto" w:fill="FFFFFF"/>
        <w:spacing w:after="220"/>
        <w:jc w:val="center"/>
        <w:rPr>
          <w:rFonts w:ascii="Helvetica Neue" w:eastAsia="Helvetica Neue" w:hAnsi="Helvetica Neue" w:cs="Helvetica Neue"/>
          <w:color w:val="1AA3DD"/>
          <w:sz w:val="23"/>
          <w:szCs w:val="23"/>
        </w:rPr>
      </w:pPr>
      <w:r>
        <w:rPr>
          <w:rFonts w:ascii="Helvetica Neue" w:hAnsi="Helvetica Neue"/>
          <w:noProof/>
          <w:color w:val="1AA3DD"/>
          <w:sz w:val="23"/>
        </w:rPr>
        <w:lastRenderedPageBreak/>
        <w:drawing>
          <wp:inline distT="114300" distB="114300" distL="114300" distR="114300" wp14:anchorId="425AC9F3" wp14:editId="300254CE">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9"/>
                    <a:srcRect/>
                    <a:stretch>
                      <a:fillRect/>
                    </a:stretch>
                  </pic:blipFill>
                  <pic:spPr>
                    <a:xfrm>
                      <a:off x="0" y="0"/>
                      <a:ext cx="5943600" cy="533400"/>
                    </a:xfrm>
                    <a:prstGeom prst="rect">
                      <a:avLst/>
                    </a:prstGeom>
                    <a:ln/>
                  </pic:spPr>
                </pic:pic>
              </a:graphicData>
            </a:graphic>
          </wp:inline>
        </w:drawing>
      </w:r>
    </w:p>
    <w:p w14:paraId="68E55E2D" w14:textId="77777777" w:rsidR="0093601B" w:rsidRDefault="0093601B"/>
    <w:sectPr w:rsidR="009360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476ED"/>
    <w:multiLevelType w:val="multilevel"/>
    <w:tmpl w:val="479A349A"/>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788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485EEC1-44BC-4ACE-870E-CAB7D5C3154B}"/>
    <w:docVar w:name="dgnword-eventsink" w:val="1614779941680"/>
  </w:docVars>
  <w:rsids>
    <w:rsidRoot w:val="0093601B"/>
    <w:rsid w:val="00605F2E"/>
    <w:rsid w:val="006E7145"/>
    <w:rsid w:val="009360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F8D1"/>
  <w15:docId w15:val="{DD23F681-6837-4A45-BE66-3C599EE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c-sc.gc.ca/fn-an/legislation/acts-lois/act-loi_reg-fra.php" TargetMode="External"/><Relationship Id="rId3" Type="http://schemas.openxmlformats.org/officeDocument/2006/relationships/settings" Target="settings.xml"/><Relationship Id="rId7" Type="http://schemas.openxmlformats.org/officeDocument/2006/relationships/hyperlink" Target="https://www.tpsgc-pwgsc.gc.ca/pmc-cgp/index-f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learsafety.gc.ca/fra/acts-and-regulations/index.cfm" TargetMode="External"/><Relationship Id="rId11" Type="http://schemas.openxmlformats.org/officeDocument/2006/relationships/theme" Target="theme/theme1.xml"/><Relationship Id="rId5" Type="http://schemas.openxmlformats.org/officeDocument/2006/relationships/hyperlink" Target="http://laws-lois.justice.gc.ca/fra/lois/C-15.21/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2091</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3</cp:revision>
  <dcterms:created xsi:type="dcterms:W3CDTF">2023-11-22T21:01:00Z</dcterms:created>
  <dcterms:modified xsi:type="dcterms:W3CDTF">2023-11-22T21:01:00Z</dcterms:modified>
</cp:coreProperties>
</file>