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F9EC0" w14:textId="77777777" w:rsidR="00E3466B" w:rsidRPr="0097242E" w:rsidRDefault="0097242E">
      <w:pPr>
        <w:pStyle w:val="Titre1"/>
        <w:keepNext w:val="0"/>
        <w:keepLines w:val="0"/>
        <w:spacing w:before="0" w:after="240" w:line="306" w:lineRule="auto"/>
        <w:rPr>
          <w:color w:val="1AA3DD"/>
          <w:sz w:val="56"/>
          <w:szCs w:val="56"/>
        </w:rPr>
      </w:pPr>
      <w:bookmarkStart w:id="0" w:name="_rkow8lf0c68o"/>
      <w:bookmarkEnd w:id="0"/>
      <w:r w:rsidRPr="0097242E">
        <w:rPr>
          <w:color w:val="1AA3DD"/>
          <w:sz w:val="56"/>
          <w:szCs w:val="36"/>
        </w:rPr>
        <w:t>Responsabilité sociale de l’entreprise</w:t>
      </w:r>
    </w:p>
    <w:p w14:paraId="6C59FA46" w14:textId="77777777" w:rsidR="00E3466B" w:rsidRDefault="0097242E">
      <w:pPr>
        <w:spacing w:after="220"/>
        <w:rPr>
          <w:sz w:val="23"/>
          <w:szCs w:val="23"/>
        </w:rPr>
      </w:pPr>
      <w:r>
        <w:rPr>
          <w:sz w:val="23"/>
        </w:rPr>
        <w:t xml:space="preserve">Mitacs souhaite être une organisation responsable qui répond aux plus hautes normes de responsabilité sociale et de professionnalisme et veillera à ce que toute question relative à la responsabilité sociale de l’entreprise soit prise en compte et soutenue dans le cadre de ses activités et de ses pratiques commerciales. Mitacs s’engage à être un chef de file dans le domaine de la responsabilité sociale de l’entreprise et reconnaît la valeur d’un tel rôle.  </w:t>
      </w:r>
    </w:p>
    <w:p w14:paraId="52E3370E" w14:textId="77777777" w:rsidR="00E3466B" w:rsidRDefault="0097242E">
      <w:pPr>
        <w:spacing w:after="220"/>
        <w:rPr>
          <w:b/>
          <w:sz w:val="23"/>
          <w:szCs w:val="23"/>
        </w:rPr>
      </w:pPr>
      <w:r>
        <w:rPr>
          <w:b/>
          <w:sz w:val="23"/>
        </w:rPr>
        <w:t>1. Qu’est-ce que la responsabilité sociale de l’entreprise (RSE)?</w:t>
      </w:r>
    </w:p>
    <w:p w14:paraId="71C3F604" w14:textId="77777777" w:rsidR="00E3466B" w:rsidRDefault="0097242E">
      <w:pPr>
        <w:spacing w:after="220"/>
        <w:rPr>
          <w:sz w:val="23"/>
          <w:szCs w:val="23"/>
        </w:rPr>
      </w:pPr>
      <w:r>
        <w:rPr>
          <w:sz w:val="23"/>
        </w:rPr>
        <w:t>La responsabilité sociale de l’entreprise vise à encourager les organisations à avoir une plus grande conscience à l’égard de l’impact de leurs activités sur le reste de la société, y compris leurs parties prenantes et l’environnement. Il s’agit d’une approche commerciale qui contribue au développement durable en se concentrant sur les bénéfices économiques, sociaux et environnementaux de toutes les parties prenantes. C’est un concept large qui aborde l’approche d’un organisme sur une multitude de sujets, i</w:t>
      </w:r>
      <w:r>
        <w:rPr>
          <w:sz w:val="23"/>
        </w:rPr>
        <w:t>ncluant les droits de la personne, la gouvernance organisationnelle, la santé et le bien-être, l’impact environnemental et les conditions de travail. L’objectif premier de la responsabilité sociale de l’entreprise est d’orienter le changement vers la durabilité et peut être mesuré au moyen de la performance environnementale, sociale et économique d’une organisation et des impacts de l’organisation sur ses parties prenantes internes et externes.</w:t>
      </w:r>
    </w:p>
    <w:p w14:paraId="05C1E0CE" w14:textId="77777777" w:rsidR="00E3466B" w:rsidRDefault="0097242E">
      <w:pPr>
        <w:spacing w:after="220"/>
        <w:rPr>
          <w:b/>
          <w:sz w:val="23"/>
          <w:szCs w:val="23"/>
        </w:rPr>
      </w:pPr>
      <w:r>
        <w:rPr>
          <w:b/>
          <w:sz w:val="23"/>
        </w:rPr>
        <w:t>2. Les piliers de la responsabilité sociale de l’entreprise – L’engagement de Mitacs</w:t>
      </w:r>
    </w:p>
    <w:p w14:paraId="79DA014B" w14:textId="77777777" w:rsidR="00E3466B" w:rsidRDefault="0097242E">
      <w:pPr>
        <w:spacing w:after="220"/>
        <w:rPr>
          <w:b/>
          <w:i/>
          <w:sz w:val="23"/>
          <w:szCs w:val="23"/>
        </w:rPr>
      </w:pPr>
      <w:r>
        <w:rPr>
          <w:b/>
          <w:i/>
          <w:sz w:val="23"/>
        </w:rPr>
        <w:t>Bénéfice environnemental</w:t>
      </w:r>
    </w:p>
    <w:p w14:paraId="3B709EDF" w14:textId="77777777" w:rsidR="00E3466B" w:rsidRDefault="0097242E">
      <w:pPr>
        <w:numPr>
          <w:ilvl w:val="0"/>
          <w:numId w:val="7"/>
        </w:numPr>
        <w:spacing w:after="220"/>
        <w:ind w:left="1020"/>
      </w:pPr>
      <w:r>
        <w:rPr>
          <w:sz w:val="23"/>
        </w:rPr>
        <w:t>Culture de conservation en milieu de travail</w:t>
      </w:r>
    </w:p>
    <w:p w14:paraId="6A8B97F7" w14:textId="77777777" w:rsidR="00E3466B" w:rsidRDefault="0097242E">
      <w:pPr>
        <w:spacing w:after="220"/>
        <w:rPr>
          <w:sz w:val="23"/>
          <w:szCs w:val="23"/>
        </w:rPr>
      </w:pPr>
      <w:r>
        <w:rPr>
          <w:sz w:val="23"/>
        </w:rPr>
        <w:t>Mitacs s’engage à respecter une culture d’entreprise écologique dans tous ses bureaux, comme le démontre la charte de l’initiative de bureau écologique. De plus, Mitacs est déterminé à exercer la pratique écologique du recyclage technologique par l’entremise de partenariats avec des fournisseurs écologiques indépendants et par l’entremise d’agents de location à ses bureaux.</w:t>
      </w:r>
    </w:p>
    <w:p w14:paraId="0851DF76" w14:textId="77777777" w:rsidR="00E3466B" w:rsidRDefault="0097242E">
      <w:pPr>
        <w:numPr>
          <w:ilvl w:val="0"/>
          <w:numId w:val="2"/>
        </w:numPr>
        <w:spacing w:after="220"/>
        <w:ind w:left="1020"/>
      </w:pPr>
      <w:r>
        <w:rPr>
          <w:sz w:val="23"/>
        </w:rPr>
        <w:t>Établir une norme environnementale</w:t>
      </w:r>
    </w:p>
    <w:p w14:paraId="47F66797" w14:textId="77777777" w:rsidR="00E3466B" w:rsidRDefault="0097242E">
      <w:pPr>
        <w:spacing w:after="220"/>
        <w:rPr>
          <w:sz w:val="23"/>
          <w:szCs w:val="23"/>
        </w:rPr>
      </w:pPr>
      <w:r>
        <w:rPr>
          <w:sz w:val="23"/>
        </w:rPr>
        <w:t>Mitacs reconnaît que la prévention de la pollution, la biodiversité et la conservation des ressources sont indispensables pour un environnement durable et intégrera efficacement ces concepts dans ses prises de décisions organisationnelles.</w:t>
      </w:r>
    </w:p>
    <w:p w14:paraId="52F0EEC3" w14:textId="77777777" w:rsidR="00E3466B" w:rsidRDefault="0097242E">
      <w:pPr>
        <w:spacing w:after="220"/>
        <w:rPr>
          <w:sz w:val="23"/>
          <w:szCs w:val="23"/>
        </w:rPr>
      </w:pPr>
      <w:r>
        <w:rPr>
          <w:sz w:val="23"/>
        </w:rPr>
        <w:t xml:space="preserve">Mitacs veillera à ce que les programmes qu’il soutient et toute recherche réalisée dans le cadre de ces programmes favorisent le développement durable et soient exécutés de </w:t>
      </w:r>
      <w:r>
        <w:rPr>
          <w:sz w:val="23"/>
        </w:rPr>
        <w:lastRenderedPageBreak/>
        <w:t xml:space="preserve">manière à respecter et à protéger l’environnement. Les détails à cet égard sont définis dans la Politique d’évaluation environnementale de Mitacs. </w:t>
      </w:r>
    </w:p>
    <w:p w14:paraId="00047FB1" w14:textId="77777777" w:rsidR="00E3466B" w:rsidRDefault="0097242E">
      <w:pPr>
        <w:spacing w:after="220"/>
        <w:rPr>
          <w:b/>
          <w:i/>
          <w:sz w:val="23"/>
          <w:szCs w:val="23"/>
        </w:rPr>
      </w:pPr>
      <w:r>
        <w:rPr>
          <w:b/>
          <w:i/>
          <w:sz w:val="23"/>
        </w:rPr>
        <w:t>Bénéfice social</w:t>
      </w:r>
    </w:p>
    <w:p w14:paraId="47A35C67" w14:textId="77777777" w:rsidR="00E3466B" w:rsidRDefault="0097242E">
      <w:pPr>
        <w:numPr>
          <w:ilvl w:val="0"/>
          <w:numId w:val="4"/>
        </w:numPr>
        <w:spacing w:after="220"/>
        <w:ind w:left="1020"/>
      </w:pPr>
      <w:r>
        <w:rPr>
          <w:sz w:val="23"/>
        </w:rPr>
        <w:t>Santé et bien-être</w:t>
      </w:r>
    </w:p>
    <w:p w14:paraId="611CB09C" w14:textId="77777777" w:rsidR="00E3466B" w:rsidRDefault="0097242E">
      <w:pPr>
        <w:spacing w:after="220"/>
        <w:rPr>
          <w:sz w:val="23"/>
          <w:szCs w:val="23"/>
        </w:rPr>
      </w:pPr>
      <w:r>
        <w:rPr>
          <w:sz w:val="23"/>
        </w:rPr>
        <w:t xml:space="preserve">Mitacs s’engage à fournir un environnement de travail qui appuie la santé et le bien-être de son personnel. Mitacs a à cœur la santé et le bien-être de son personnel et encourage tout son personnel à tirer profit des occasions de bien-être fournies par l’organisation, incluant un programme d’aide aux employés (PAE) pour aider les </w:t>
      </w:r>
      <w:proofErr w:type="spellStart"/>
      <w:r>
        <w:rPr>
          <w:sz w:val="23"/>
        </w:rPr>
        <w:t>employé·es</w:t>
      </w:r>
      <w:proofErr w:type="spellEnd"/>
      <w:r>
        <w:rPr>
          <w:sz w:val="23"/>
        </w:rPr>
        <w:t xml:space="preserve"> et les membres de leur famille qui éprouvent du stress en milieu de travail ou dans leur vie personnelle/familiale.</w:t>
      </w:r>
    </w:p>
    <w:p w14:paraId="24B04C88" w14:textId="77777777" w:rsidR="00E3466B" w:rsidRDefault="0097242E">
      <w:pPr>
        <w:spacing w:after="220"/>
        <w:rPr>
          <w:sz w:val="23"/>
          <w:szCs w:val="23"/>
        </w:rPr>
      </w:pPr>
      <w:r>
        <w:rPr>
          <w:sz w:val="23"/>
        </w:rPr>
        <w:t>Mitacs reconnaît l’importance d’un lieu de travail sécuritaire et, par conséquent, a mis en place un comité mixte de santé et de sécurité pour assurer un environnement de travail sécuritaire et sain et pour répondre aux préoccupations. De plus amples détails se trouvent dans la Politique sur la santé et la sécurité au travail de Mitacs.</w:t>
      </w:r>
    </w:p>
    <w:p w14:paraId="1A74BA8D" w14:textId="77777777" w:rsidR="00E3466B" w:rsidRDefault="0097242E">
      <w:pPr>
        <w:numPr>
          <w:ilvl w:val="0"/>
          <w:numId w:val="1"/>
        </w:numPr>
        <w:spacing w:after="220"/>
        <w:ind w:left="1020"/>
      </w:pPr>
      <w:r>
        <w:rPr>
          <w:sz w:val="23"/>
        </w:rPr>
        <w:t>Participation communautaire</w:t>
      </w:r>
    </w:p>
    <w:p w14:paraId="0B256F18" w14:textId="77777777" w:rsidR="00E3466B" w:rsidRDefault="0097242E">
      <w:pPr>
        <w:spacing w:after="220"/>
        <w:rPr>
          <w:sz w:val="23"/>
          <w:szCs w:val="23"/>
        </w:rPr>
      </w:pPr>
      <w:r>
        <w:rPr>
          <w:sz w:val="23"/>
        </w:rPr>
        <w:t>Mitacs s’engage à appuyer et à encourager les communautés durables. Avec des bureaux partout au Canada, Mitacs est continuellement à la recherche d’occasions de redonner à la communauté et d’enrichir les communautés auxquelles il appartient.</w:t>
      </w:r>
    </w:p>
    <w:p w14:paraId="3623A437" w14:textId="77777777" w:rsidR="00E3466B" w:rsidRDefault="0097242E">
      <w:pPr>
        <w:numPr>
          <w:ilvl w:val="0"/>
          <w:numId w:val="5"/>
        </w:numPr>
        <w:spacing w:after="220"/>
        <w:ind w:left="1020"/>
      </w:pPr>
      <w:r>
        <w:rPr>
          <w:sz w:val="23"/>
        </w:rPr>
        <w:t>Diversité</w:t>
      </w:r>
    </w:p>
    <w:p w14:paraId="105FAA2D" w14:textId="77777777" w:rsidR="00E3466B" w:rsidRDefault="0097242E">
      <w:pPr>
        <w:spacing w:after="220"/>
        <w:rPr>
          <w:sz w:val="23"/>
          <w:szCs w:val="23"/>
        </w:rPr>
      </w:pPr>
      <w:r>
        <w:rPr>
          <w:sz w:val="23"/>
        </w:rPr>
        <w:t xml:space="preserve">Mitacs s’engage à être un chef de file dans le soutien et la mise en valeur de la diversité de nos </w:t>
      </w:r>
      <w:proofErr w:type="spellStart"/>
      <w:r>
        <w:rPr>
          <w:sz w:val="23"/>
        </w:rPr>
        <w:t>employé·es</w:t>
      </w:r>
      <w:proofErr w:type="spellEnd"/>
      <w:r>
        <w:rPr>
          <w:sz w:val="23"/>
        </w:rPr>
        <w:t xml:space="preserve"> et des </w:t>
      </w:r>
      <w:proofErr w:type="spellStart"/>
      <w:r>
        <w:rPr>
          <w:sz w:val="23"/>
        </w:rPr>
        <w:t>participant·es</w:t>
      </w:r>
      <w:proofErr w:type="spellEnd"/>
      <w:r>
        <w:rPr>
          <w:sz w:val="23"/>
        </w:rPr>
        <w:t xml:space="preserve"> à nos programmes.</w:t>
      </w:r>
    </w:p>
    <w:p w14:paraId="41102BCE" w14:textId="77777777" w:rsidR="00E3466B" w:rsidRDefault="0097242E">
      <w:pPr>
        <w:spacing w:after="220"/>
        <w:rPr>
          <w:sz w:val="23"/>
          <w:szCs w:val="23"/>
        </w:rPr>
      </w:pPr>
      <w:r>
        <w:rPr>
          <w:sz w:val="23"/>
        </w:rPr>
        <w:t xml:space="preserve">Mitacs est voué à la diversité en matière d’emploi en ce qui a trait à tous les aspects de l’emploi. Toutes les décisions relatives au recrutement, à l’embauche, à la promotion, à la rémunération, au développement du personnel et à toutes les conditions d’emploi seront prises en vue de promouvoir la diversité au sein de l’organisme. Les </w:t>
      </w:r>
      <w:proofErr w:type="spellStart"/>
      <w:r>
        <w:rPr>
          <w:sz w:val="23"/>
        </w:rPr>
        <w:t>employé·es</w:t>
      </w:r>
      <w:proofErr w:type="spellEnd"/>
      <w:r>
        <w:rPr>
          <w:sz w:val="23"/>
        </w:rPr>
        <w:t xml:space="preserve"> seront traités de manière juste et équitable sans égards à la race, aux croyances religieuses, à la couleur de la peau, au sexe, à l’orientation sexuelle, à l’état civil, à l’apparence physique ou mentale, à l’âge, à l’ascendance ou au lieu d’origine. Mitacs s’engage à fournir un hébergement convenable pendant le processus de recrutement et d’embauche.</w:t>
      </w:r>
    </w:p>
    <w:p w14:paraId="246D652A" w14:textId="77777777" w:rsidR="00E3466B" w:rsidRDefault="0097242E">
      <w:pPr>
        <w:spacing w:after="220"/>
        <w:rPr>
          <w:sz w:val="23"/>
          <w:szCs w:val="23"/>
        </w:rPr>
      </w:pPr>
      <w:r>
        <w:rPr>
          <w:sz w:val="23"/>
        </w:rPr>
        <w:t>Mitacs s’engage à veiller à ce que ses programmes soient accessibles à tous et à toutes. De plus, Mitacs a formé un groupe de travail à l’interne sur la diversité pour trouver et fournir des solutions à des obstacles potentiels.</w:t>
      </w:r>
    </w:p>
    <w:p w14:paraId="13CEC23E" w14:textId="77777777" w:rsidR="00E3466B" w:rsidRDefault="0097242E">
      <w:pPr>
        <w:numPr>
          <w:ilvl w:val="0"/>
          <w:numId w:val="9"/>
        </w:numPr>
        <w:spacing w:after="220"/>
        <w:ind w:left="1020"/>
      </w:pPr>
      <w:r>
        <w:rPr>
          <w:sz w:val="23"/>
        </w:rPr>
        <w:t>Droits de la personne</w:t>
      </w:r>
    </w:p>
    <w:p w14:paraId="7DFE9106" w14:textId="77777777" w:rsidR="00E3466B" w:rsidRDefault="0097242E">
      <w:pPr>
        <w:spacing w:after="220"/>
        <w:rPr>
          <w:sz w:val="23"/>
          <w:szCs w:val="23"/>
        </w:rPr>
      </w:pPr>
      <w:r>
        <w:rPr>
          <w:sz w:val="23"/>
        </w:rPr>
        <w:lastRenderedPageBreak/>
        <w:t>Mitacs est déterminé à protéger les droits de la personne. Nous sommes un employeur engagé souscrivant au principe de l’égalité d’accès à l’emploi et respecterons les pratiques de travail équitables. Nous veillerons à ce que nos activités ne contreviennent pas, directement ou indirectement, aux droits de la personne dans le monde (par exemple, le travail forcé).</w:t>
      </w:r>
    </w:p>
    <w:p w14:paraId="2A0E7E7B" w14:textId="77777777" w:rsidR="00E3466B" w:rsidRDefault="0097242E">
      <w:pPr>
        <w:spacing w:after="220"/>
        <w:rPr>
          <w:sz w:val="23"/>
          <w:szCs w:val="23"/>
        </w:rPr>
      </w:pPr>
      <w:r>
        <w:rPr>
          <w:sz w:val="23"/>
        </w:rPr>
        <w:t>Mitacs s’assurera que tous les membres de son personnel reçoivent un traitement équitable, digne et attentionné quant à leurs objectifs et aspirations et que la diversité en milieu de travail est adoptée. Mitacs ne pratique ni ne tolère aucun comportement illégal sur le lieu de travail, incluant la discrimination, l’intimidation ou le harcèlement. Mitacs ne tolère aucune violation des droits de la personne et n’exercera aucune activité ou ne sera complice d’aucune activité qui sollicite ou encourage la viol</w:t>
      </w:r>
      <w:r>
        <w:rPr>
          <w:sz w:val="23"/>
        </w:rPr>
        <w:t>ation des droits de la personne. Mitacs vise à bâtir la confiance, à offrir un avantage mutuel et à faire preuve de respect à l’égard de la dignité humaine et des droits de la personne dans toutes les relations avec les parties prenantes.</w:t>
      </w:r>
    </w:p>
    <w:p w14:paraId="0916EC5C" w14:textId="77777777" w:rsidR="00E3466B" w:rsidRDefault="0097242E">
      <w:pPr>
        <w:spacing w:after="220"/>
        <w:rPr>
          <w:sz w:val="23"/>
          <w:szCs w:val="23"/>
        </w:rPr>
      </w:pPr>
      <w:r>
        <w:rPr>
          <w:sz w:val="23"/>
        </w:rPr>
        <w:t xml:space="preserve">Mitacs souhaite promouvoir et financer de la recherche qui est réalisée selon les normes éthiques les plus rigoureuses. Mitacs a par conséquent adopté les normes fixées par le Conseil canadien de protection des animaux et l’Énoncé de politique des trois Conseils : </w:t>
      </w:r>
      <w:r>
        <w:t>Éthique de la recherche avec des êtres humains</w:t>
      </w:r>
      <w:r>
        <w:rPr>
          <w:sz w:val="23"/>
        </w:rPr>
        <w:t xml:space="preserve"> (</w:t>
      </w:r>
      <w:hyperlink r:id="rId5">
        <w:r>
          <w:rPr>
            <w:color w:val="1AA3DD"/>
            <w:sz w:val="23"/>
          </w:rPr>
          <w:t>http://www.ger.ethique.gc.ca/fra/policy-politique/initiatives/tcps2-eptc2/Default/</w:t>
        </w:r>
      </w:hyperlink>
      <w:r>
        <w:rPr>
          <w:sz w:val="23"/>
        </w:rPr>
        <w:t>) comme norme en matière de conduite éthique pour de la recherche menée avec des sujets humains. Comme condition de financement, Mitacs exige que ses chercheurs et universités participantes adhèrent aux normes éthiques et aux articles de ces politiques.</w:t>
      </w:r>
    </w:p>
    <w:p w14:paraId="4F763753" w14:textId="77777777" w:rsidR="00E3466B" w:rsidRDefault="0097242E">
      <w:pPr>
        <w:spacing w:after="220"/>
        <w:rPr>
          <w:b/>
          <w:i/>
          <w:sz w:val="23"/>
          <w:szCs w:val="23"/>
        </w:rPr>
      </w:pPr>
      <w:r>
        <w:rPr>
          <w:b/>
          <w:i/>
          <w:sz w:val="23"/>
        </w:rPr>
        <w:t>Économique</w:t>
      </w:r>
    </w:p>
    <w:p w14:paraId="053543F2" w14:textId="77777777" w:rsidR="00E3466B" w:rsidRDefault="0097242E">
      <w:pPr>
        <w:numPr>
          <w:ilvl w:val="0"/>
          <w:numId w:val="6"/>
        </w:numPr>
        <w:spacing w:after="220"/>
        <w:ind w:left="1020"/>
      </w:pPr>
      <w:r>
        <w:rPr>
          <w:sz w:val="23"/>
        </w:rPr>
        <w:t>Transparence et responsabilité</w:t>
      </w:r>
    </w:p>
    <w:p w14:paraId="677C57C1" w14:textId="77777777" w:rsidR="00E3466B" w:rsidRDefault="0097242E">
      <w:pPr>
        <w:spacing w:after="220"/>
        <w:rPr>
          <w:sz w:val="23"/>
          <w:szCs w:val="23"/>
        </w:rPr>
      </w:pPr>
      <w:r>
        <w:rPr>
          <w:sz w:val="23"/>
        </w:rPr>
        <w:t>En tant qu’organisation bénéficiant de fonds publics, nous devons garantir le niveau le plus élevé de responsabilité, de transparence et d’intégrité dans tout ce que nous faisons. C’est une valeur organisationnelle et une responsabilité partagée par chaque membre de l’équipe de Mitacs.</w:t>
      </w:r>
    </w:p>
    <w:p w14:paraId="283F73D6" w14:textId="77777777" w:rsidR="00E3466B" w:rsidRDefault="0097242E">
      <w:pPr>
        <w:numPr>
          <w:ilvl w:val="0"/>
          <w:numId w:val="8"/>
        </w:numPr>
        <w:spacing w:after="220"/>
        <w:ind w:left="1020"/>
      </w:pPr>
      <w:r>
        <w:rPr>
          <w:sz w:val="23"/>
        </w:rPr>
        <w:t>Décisions d’achat</w:t>
      </w:r>
    </w:p>
    <w:p w14:paraId="254BA1B9" w14:textId="77777777" w:rsidR="00E3466B" w:rsidRDefault="0097242E">
      <w:pPr>
        <w:spacing w:after="220"/>
        <w:rPr>
          <w:sz w:val="23"/>
          <w:szCs w:val="23"/>
        </w:rPr>
      </w:pPr>
      <w:r>
        <w:rPr>
          <w:sz w:val="23"/>
        </w:rPr>
        <w:t>Mitacs veille à ce que tous les fournisseurs respectent les lois nationales et autres lois applicables relatives au travail, à la santé et à la sécurité des travailleuses et des travailleurs et à l’environnement. De plus, Mitacs s’engage à faire affaire avec des fournisseurs qui offrent un milieu de travail sécuritaire et sain pour leur personnel, qui respectent les droits de la personne et civiques et qui concordent avec la mission et les valeurs de Mitacs.</w:t>
      </w:r>
    </w:p>
    <w:p w14:paraId="61880CE6" w14:textId="77777777" w:rsidR="00E3466B" w:rsidRDefault="0097242E">
      <w:pPr>
        <w:spacing w:after="220"/>
        <w:rPr>
          <w:sz w:val="23"/>
          <w:szCs w:val="23"/>
        </w:rPr>
      </w:pPr>
      <w:r>
        <w:rPr>
          <w:sz w:val="23"/>
        </w:rPr>
        <w:lastRenderedPageBreak/>
        <w:t>Dans les demandes d’offres de services aux fournisseurs, Mitacs exigera de l’information sur les processus de fabrication des fournisseurs; par exemple l’utilisation de matériels écologiques ou de plastique recyclé.</w:t>
      </w:r>
    </w:p>
    <w:p w14:paraId="3B63B377" w14:textId="77777777" w:rsidR="00E3466B" w:rsidRDefault="0097242E">
      <w:pPr>
        <w:numPr>
          <w:ilvl w:val="0"/>
          <w:numId w:val="3"/>
        </w:numPr>
        <w:spacing w:after="220"/>
        <w:ind w:left="1020"/>
      </w:pPr>
      <w:r>
        <w:rPr>
          <w:sz w:val="23"/>
        </w:rPr>
        <w:t>Équité</w:t>
      </w:r>
    </w:p>
    <w:p w14:paraId="7AE8A2E2" w14:textId="77777777" w:rsidR="00E3466B" w:rsidRDefault="0097242E">
      <w:pPr>
        <w:spacing w:after="220"/>
        <w:rPr>
          <w:sz w:val="23"/>
          <w:szCs w:val="23"/>
        </w:rPr>
      </w:pPr>
      <w:r>
        <w:rPr>
          <w:sz w:val="23"/>
        </w:rPr>
        <w:t xml:space="preserve">Mitacs s’engage à favoriser l’équité en matière d’emploi au sein d’un milieu de travail inclusif qui favorise l’engagement et le sentiment d’autonomie chez le personnel. </w:t>
      </w:r>
    </w:p>
    <w:p w14:paraId="49BDC351" w14:textId="77777777" w:rsidR="00E3466B" w:rsidRDefault="0097242E">
      <w:pPr>
        <w:spacing w:after="220"/>
        <w:rPr>
          <w:sz w:val="23"/>
          <w:szCs w:val="23"/>
        </w:rPr>
      </w:pPr>
      <w:r>
        <w:rPr>
          <w:sz w:val="23"/>
        </w:rPr>
        <w:t xml:space="preserve"> </w:t>
      </w:r>
    </w:p>
    <w:p w14:paraId="0FFAE726" w14:textId="77777777" w:rsidR="00E3466B" w:rsidRDefault="0097242E">
      <w:pPr>
        <w:spacing w:after="220"/>
        <w:rPr>
          <w:b/>
          <w:i/>
          <w:sz w:val="23"/>
          <w:szCs w:val="23"/>
        </w:rPr>
      </w:pPr>
      <w:r>
        <w:rPr>
          <w:b/>
          <w:i/>
          <w:sz w:val="23"/>
        </w:rPr>
        <w:t>Demandes de renseignements et plaintes</w:t>
      </w:r>
    </w:p>
    <w:p w14:paraId="278265C9" w14:textId="77777777" w:rsidR="00E3466B" w:rsidRDefault="0097242E">
      <w:pPr>
        <w:spacing w:after="220"/>
        <w:rPr>
          <w:sz w:val="23"/>
          <w:szCs w:val="23"/>
        </w:rPr>
      </w:pPr>
      <w:r>
        <w:rPr>
          <w:sz w:val="23"/>
        </w:rPr>
        <w:t xml:space="preserve">Si vous avez des questions ou des inquiétudes au sujet de notre Politique sur la responsabilité sociale de l’entreprise ou de nos pratiques, veuillez communiquer avec la personne ci-dessous. </w:t>
      </w:r>
    </w:p>
    <w:p w14:paraId="5087A6B6" w14:textId="77777777" w:rsidR="00E3466B" w:rsidRDefault="0097242E">
      <w:pPr>
        <w:spacing w:after="220"/>
        <w:rPr>
          <w:sz w:val="23"/>
          <w:szCs w:val="23"/>
        </w:rPr>
      </w:pPr>
      <w:r>
        <w:rPr>
          <w:sz w:val="23"/>
        </w:rPr>
        <w:t>Chef de la direction financière</w:t>
      </w:r>
      <w:r>
        <w:rPr>
          <w:sz w:val="23"/>
        </w:rPr>
        <w:br/>
        <w:t>Mitacs Suite</w:t>
      </w:r>
      <w:r>
        <w:rPr>
          <w:sz w:val="23"/>
        </w:rPr>
        <w:br/>
        <w:t xml:space="preserve">301, </w:t>
      </w:r>
      <w:proofErr w:type="spellStart"/>
      <w:r>
        <w:rPr>
          <w:sz w:val="23"/>
        </w:rPr>
        <w:t>Technology</w:t>
      </w:r>
      <w:proofErr w:type="spellEnd"/>
      <w:r>
        <w:rPr>
          <w:sz w:val="23"/>
        </w:rPr>
        <w:t xml:space="preserve"> Enterprise Facility</w:t>
      </w:r>
      <w:r>
        <w:rPr>
          <w:sz w:val="23"/>
        </w:rPr>
        <w:br/>
      </w:r>
      <w:proofErr w:type="spellStart"/>
      <w:r>
        <w:rPr>
          <w:sz w:val="23"/>
        </w:rPr>
        <w:t>University</w:t>
      </w:r>
      <w:proofErr w:type="spellEnd"/>
      <w:r>
        <w:rPr>
          <w:sz w:val="23"/>
        </w:rPr>
        <w:t xml:space="preserve"> of British Columbia</w:t>
      </w:r>
      <w:r>
        <w:rPr>
          <w:sz w:val="23"/>
        </w:rPr>
        <w:br/>
        <w:t xml:space="preserve">6190 </w:t>
      </w:r>
      <w:proofErr w:type="spellStart"/>
      <w:r>
        <w:rPr>
          <w:sz w:val="23"/>
        </w:rPr>
        <w:t>Agronomy</w:t>
      </w:r>
      <w:proofErr w:type="spellEnd"/>
      <w:r>
        <w:rPr>
          <w:sz w:val="23"/>
        </w:rPr>
        <w:t xml:space="preserve"> Road</w:t>
      </w:r>
      <w:r>
        <w:rPr>
          <w:sz w:val="23"/>
        </w:rPr>
        <w:br/>
        <w:t xml:space="preserve">Vancouver, </w:t>
      </w:r>
      <w:proofErr w:type="gramStart"/>
      <w:r>
        <w:rPr>
          <w:sz w:val="23"/>
        </w:rPr>
        <w:t>BC  V</w:t>
      </w:r>
      <w:proofErr w:type="gramEnd"/>
      <w:r>
        <w:rPr>
          <w:sz w:val="23"/>
        </w:rPr>
        <w:t>6T 1Z3</w:t>
      </w:r>
      <w:r>
        <w:rPr>
          <w:sz w:val="23"/>
        </w:rPr>
        <w:br/>
        <w:t>Téléphone : 604 822-9189</w:t>
      </w:r>
    </w:p>
    <w:p w14:paraId="7F137406" w14:textId="77777777" w:rsidR="00E3466B" w:rsidRDefault="0097242E">
      <w:pPr>
        <w:spacing w:after="220"/>
        <w:jc w:val="center"/>
      </w:pPr>
      <w:r>
        <w:rPr>
          <w:noProof/>
          <w:sz w:val="23"/>
        </w:rPr>
        <w:drawing>
          <wp:inline distT="114300" distB="114300" distL="114300" distR="114300" wp14:anchorId="2856F734" wp14:editId="2B564475">
            <wp:extent cx="5943600" cy="533400"/>
            <wp:effectExtent l="0" t="0" r="0" b="0"/>
            <wp:docPr id="1" name="image1.png" descr="Government logos"/>
            <wp:cNvGraphicFramePr/>
            <a:graphic xmlns:a="http://schemas.openxmlformats.org/drawingml/2006/main">
              <a:graphicData uri="http://schemas.openxmlformats.org/drawingml/2006/picture">
                <pic:pic xmlns:pic="http://schemas.openxmlformats.org/drawingml/2006/picture">
                  <pic:nvPicPr>
                    <pic:cNvPr id="0" name="image1.png" descr="Government logos"/>
                    <pic:cNvPicPr preferRelativeResize="0"/>
                  </pic:nvPicPr>
                  <pic:blipFill>
                    <a:blip r:embed="rId6"/>
                    <a:srcRect/>
                    <a:stretch>
                      <a:fillRect/>
                    </a:stretch>
                  </pic:blipFill>
                  <pic:spPr>
                    <a:xfrm>
                      <a:off x="0" y="0"/>
                      <a:ext cx="5943600" cy="533400"/>
                    </a:xfrm>
                    <a:prstGeom prst="rect">
                      <a:avLst/>
                    </a:prstGeom>
                    <a:ln/>
                  </pic:spPr>
                </pic:pic>
              </a:graphicData>
            </a:graphic>
          </wp:inline>
        </w:drawing>
      </w:r>
    </w:p>
    <w:sectPr w:rsidR="00E3466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DDD"/>
    <w:multiLevelType w:val="multilevel"/>
    <w:tmpl w:val="A830A6CE"/>
    <w:lvl w:ilvl="0">
      <w:start w:val="1"/>
      <w:numFmt w:val="bullet"/>
      <w:lvlText w:val="■"/>
      <w:lvlJc w:val="left"/>
      <w:pPr>
        <w:ind w:left="720" w:hanging="360"/>
      </w:pPr>
      <w:rPr>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2207A1"/>
    <w:multiLevelType w:val="multilevel"/>
    <w:tmpl w:val="B44C7D1A"/>
    <w:lvl w:ilvl="0">
      <w:start w:val="1"/>
      <w:numFmt w:val="bullet"/>
      <w:lvlText w:val="■"/>
      <w:lvlJc w:val="left"/>
      <w:pPr>
        <w:ind w:left="720" w:hanging="360"/>
      </w:pPr>
      <w:rPr>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B65722"/>
    <w:multiLevelType w:val="multilevel"/>
    <w:tmpl w:val="D3F26A9C"/>
    <w:lvl w:ilvl="0">
      <w:start w:val="1"/>
      <w:numFmt w:val="bullet"/>
      <w:lvlText w:val="■"/>
      <w:lvlJc w:val="left"/>
      <w:pPr>
        <w:ind w:left="720" w:hanging="360"/>
      </w:pPr>
      <w:rPr>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FC47A4"/>
    <w:multiLevelType w:val="multilevel"/>
    <w:tmpl w:val="2EDE7AB2"/>
    <w:lvl w:ilvl="0">
      <w:start w:val="1"/>
      <w:numFmt w:val="bullet"/>
      <w:lvlText w:val="■"/>
      <w:lvlJc w:val="left"/>
      <w:pPr>
        <w:ind w:left="720" w:hanging="360"/>
      </w:pPr>
      <w:rPr>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1B6964"/>
    <w:multiLevelType w:val="multilevel"/>
    <w:tmpl w:val="F09AC8C2"/>
    <w:lvl w:ilvl="0">
      <w:start w:val="1"/>
      <w:numFmt w:val="bullet"/>
      <w:lvlText w:val="■"/>
      <w:lvlJc w:val="left"/>
      <w:pPr>
        <w:ind w:left="720" w:hanging="360"/>
      </w:pPr>
      <w:rPr>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213785C"/>
    <w:multiLevelType w:val="multilevel"/>
    <w:tmpl w:val="7F5A064E"/>
    <w:lvl w:ilvl="0">
      <w:start w:val="1"/>
      <w:numFmt w:val="bullet"/>
      <w:lvlText w:val="■"/>
      <w:lvlJc w:val="left"/>
      <w:pPr>
        <w:ind w:left="720" w:hanging="360"/>
      </w:pPr>
      <w:rPr>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5D755A5"/>
    <w:multiLevelType w:val="multilevel"/>
    <w:tmpl w:val="BA364AC0"/>
    <w:lvl w:ilvl="0">
      <w:start w:val="1"/>
      <w:numFmt w:val="bullet"/>
      <w:lvlText w:val="■"/>
      <w:lvlJc w:val="left"/>
      <w:pPr>
        <w:ind w:left="720" w:hanging="360"/>
      </w:pPr>
      <w:rPr>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7320707"/>
    <w:multiLevelType w:val="multilevel"/>
    <w:tmpl w:val="8006E9F0"/>
    <w:lvl w:ilvl="0">
      <w:start w:val="1"/>
      <w:numFmt w:val="bullet"/>
      <w:lvlText w:val="■"/>
      <w:lvlJc w:val="left"/>
      <w:pPr>
        <w:ind w:left="720" w:hanging="360"/>
      </w:pPr>
      <w:rPr>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B9E402B"/>
    <w:multiLevelType w:val="multilevel"/>
    <w:tmpl w:val="CD06DDEE"/>
    <w:lvl w:ilvl="0">
      <w:start w:val="1"/>
      <w:numFmt w:val="bullet"/>
      <w:lvlText w:val="■"/>
      <w:lvlJc w:val="left"/>
      <w:pPr>
        <w:ind w:left="720" w:hanging="360"/>
      </w:pPr>
      <w:rPr>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01645843">
    <w:abstractNumId w:val="4"/>
  </w:num>
  <w:num w:numId="2" w16cid:durableId="2095854865">
    <w:abstractNumId w:val="2"/>
  </w:num>
  <w:num w:numId="3" w16cid:durableId="143350652">
    <w:abstractNumId w:val="5"/>
  </w:num>
  <w:num w:numId="4" w16cid:durableId="419058946">
    <w:abstractNumId w:val="1"/>
  </w:num>
  <w:num w:numId="5" w16cid:durableId="2056393352">
    <w:abstractNumId w:val="8"/>
  </w:num>
  <w:num w:numId="6" w16cid:durableId="2003922147">
    <w:abstractNumId w:val="0"/>
  </w:num>
  <w:num w:numId="7" w16cid:durableId="159657968">
    <w:abstractNumId w:val="6"/>
  </w:num>
  <w:num w:numId="8" w16cid:durableId="1013610492">
    <w:abstractNumId w:val="3"/>
  </w:num>
  <w:num w:numId="9" w16cid:durableId="19256449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5942DC6-2B04-4D9E-BF5F-E65CFA10AD94}"/>
    <w:docVar w:name="dgnword-eventsink" w:val="2459731826512"/>
  </w:docVars>
  <w:rsids>
    <w:rsidRoot w:val="00E3466B"/>
    <w:rsid w:val="000B587D"/>
    <w:rsid w:val="0097242E"/>
    <w:rsid w:val="00E3466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62873"/>
  <w15:docId w15:val="{EE1A253E-4EA0-4881-ADA3-2CE8BB87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ger.ethique.gc.ca/fra/policy-politique/initiatives/tcps2-eptc2/Defa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1285</Words>
  <Characters>7073</Characters>
  <Application>Microsoft Office Word</Application>
  <DocSecurity>0</DocSecurity>
  <Lines>58</Lines>
  <Paragraphs>16</Paragraphs>
  <ScaleCrop>false</ScaleCrop>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Julie-Andrée Marcoux</dc:creator>
  <cp:lastModifiedBy>Julie-Andrée Marcoux</cp:lastModifiedBy>
  <cp:revision>4</cp:revision>
  <dcterms:created xsi:type="dcterms:W3CDTF">2023-11-22T20:26:00Z</dcterms:created>
  <dcterms:modified xsi:type="dcterms:W3CDTF">2023-11-22T20:26:00Z</dcterms:modified>
</cp:coreProperties>
</file>