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0" w:line="306.3829787234043" w:lineRule="auto"/>
        <w:rPr>
          <w:rFonts w:ascii="Helvetica Neue" w:cs="Helvetica Neue" w:eastAsia="Helvetica Neue" w:hAnsi="Helvetica Neue"/>
          <w:color w:val="1aa3dd"/>
          <w:sz w:val="63"/>
          <w:szCs w:val="63"/>
        </w:rPr>
      </w:pPr>
      <w:bookmarkStart w:colFirst="0" w:colLast="0" w:name="_c4eocb23m77m" w:id="0"/>
      <w:bookmarkEnd w:id="0"/>
      <w:r w:rsidDel="00000000" w:rsidR="00000000" w:rsidRPr="00000000">
        <w:rPr>
          <w:rFonts w:ascii="Helvetica Neue" w:cs="Helvetica Neue" w:eastAsia="Helvetica Neue" w:hAnsi="Helvetica Neue"/>
          <w:color w:val="1aa3dd"/>
          <w:sz w:val="63"/>
          <w:szCs w:val="63"/>
          <w:rtl w:val="0"/>
        </w:rPr>
        <w:t xml:space="preserve">Ethical Conduct Policy for Research Involving Animals</w:t>
      </w:r>
    </w:p>
    <w:p w:rsidR="00000000" w:rsidDel="00000000" w:rsidP="00000000" w:rsidRDefault="00000000" w:rsidRPr="00000000" w14:paraId="00000002">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o7zn6useycak" w:id="1"/>
      <w:bookmarkEnd w:id="1"/>
      <w:r w:rsidDel="00000000" w:rsidR="00000000" w:rsidRPr="00000000">
        <w:rPr>
          <w:rFonts w:ascii="Helvetica Neue" w:cs="Helvetica Neue" w:eastAsia="Helvetica Neue" w:hAnsi="Helvetica Neue"/>
          <w:color w:val="000000"/>
          <w:sz w:val="30"/>
          <w:szCs w:val="30"/>
          <w:rtl w:val="0"/>
        </w:rPr>
        <w:t xml:space="preserve">Mitacs Policy Statement on Ethical Conduct for Research Involving Animals</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hd w:fill="ffffff" w:val="clear"/>
        <w:spacing w:after="220" w:lineRule="auto"/>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tl w:val="0"/>
        </w:rPr>
        <w:t xml:space="preserve">Mitacs wishes to promote and fund research that is conducted according to the highest ethical standards. Mitacs has therefore adopted the standards set by the Canadian Council of Animal Care. As a condition of funding, Mitacs requires that its researchers and participating universities apply the ethical principles and articles of this policy.</w:t>
      </w:r>
    </w:p>
    <w:p w:rsidR="00000000" w:rsidDel="00000000" w:rsidP="00000000" w:rsidRDefault="00000000" w:rsidRPr="00000000" w14:paraId="00000004">
      <w:pPr>
        <w:pStyle w:val="Heading3"/>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0" w:line="306.66666666666663" w:lineRule="auto"/>
        <w:rPr>
          <w:rFonts w:ascii="Helvetica Neue" w:cs="Helvetica Neue" w:eastAsia="Helvetica Neue" w:hAnsi="Helvetica Neue"/>
          <w:color w:val="000000"/>
          <w:sz w:val="30"/>
          <w:szCs w:val="30"/>
        </w:rPr>
      </w:pPr>
      <w:bookmarkStart w:colFirst="0" w:colLast="0" w:name="_3x325qsq49u4" w:id="2"/>
      <w:bookmarkEnd w:id="2"/>
      <w:r w:rsidDel="00000000" w:rsidR="00000000" w:rsidRPr="00000000">
        <w:rPr>
          <w:rFonts w:ascii="Helvetica Neue" w:cs="Helvetica Neue" w:eastAsia="Helvetica Neue" w:hAnsi="Helvetica Neue"/>
          <w:color w:val="000000"/>
          <w:sz w:val="30"/>
          <w:szCs w:val="30"/>
          <w:rtl w:val="0"/>
        </w:rPr>
        <w:t xml:space="preserve">Review Process</w:t>
      </w:r>
    </w:p>
    <w:p w:rsidR="00000000" w:rsidDel="00000000" w:rsidP="00000000" w:rsidRDefault="00000000" w:rsidRPr="00000000" w14:paraId="00000005">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Each research and internship proposal received at Mitacs must include a disclosure whether or not the proposed research involves animal subjects. Mitacs will not consider any proposal that does not include the above mentioned disclosure.</w:t>
      </w:r>
    </w:p>
    <w:p w:rsidR="00000000" w:rsidDel="00000000" w:rsidP="00000000" w:rsidRDefault="00000000" w:rsidRPr="00000000" w14:paraId="00000006">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Research and internship proposals that involve animals must be reviewed by the Participating University Animal Care Committee. </w:t>
      </w:r>
    </w:p>
    <w:p w:rsidR="00000000" w:rsidDel="00000000" w:rsidP="00000000" w:rsidRDefault="00000000" w:rsidRPr="00000000" w14:paraId="00000007">
      <w:pPr>
        <w:numPr>
          <w:ilvl w:val="0"/>
          <w:numId w:val="1"/>
        </w:numPr>
        <w:pBdr>
          <w:top w:color="auto" w:space="0" w:sz="0" w:val="none"/>
          <w:bottom w:color="auto" w:space="0" w:sz="0" w:val="none"/>
          <w:right w:color="auto" w:space="0" w:sz="0" w:val="none"/>
          <w:between w:color="auto" w:space="0" w:sz="0" w:val="none"/>
        </w:pBdr>
        <w:spacing w:after="0" w:afterAutospacing="0" w:lineRule="auto"/>
        <w:ind w:left="1020" w:hanging="360"/>
      </w:pPr>
      <w:r w:rsidDel="00000000" w:rsidR="00000000" w:rsidRPr="00000000">
        <w:rPr>
          <w:rFonts w:ascii="Helvetica Neue" w:cs="Helvetica Neue" w:eastAsia="Helvetica Neue" w:hAnsi="Helvetica Neue"/>
          <w:sz w:val="23"/>
          <w:szCs w:val="23"/>
          <w:rtl w:val="0"/>
        </w:rPr>
        <w:t xml:space="preserve">A valid approval is required for the duration of the research project. Access to funding may be denied for projects that do not have approval according to the Participating University Policies. Mitacs reserves the right to request a copy of the report to ensure compliance.</w:t>
      </w:r>
    </w:p>
    <w:p w:rsidR="00000000" w:rsidDel="00000000" w:rsidP="00000000" w:rsidRDefault="00000000" w:rsidRPr="00000000" w14:paraId="00000008">
      <w:pPr>
        <w:numPr>
          <w:ilvl w:val="0"/>
          <w:numId w:val="1"/>
        </w:numPr>
        <w:pBdr>
          <w:top w:color="auto" w:space="0" w:sz="0" w:val="none"/>
          <w:bottom w:color="auto" w:space="0" w:sz="0" w:val="none"/>
          <w:right w:color="auto" w:space="0" w:sz="0" w:val="none"/>
          <w:between w:color="auto" w:space="0" w:sz="0" w:val="none"/>
        </w:pBdr>
        <w:spacing w:after="220" w:lineRule="auto"/>
        <w:ind w:left="1020" w:hanging="360"/>
      </w:pPr>
      <w:r w:rsidDel="00000000" w:rsidR="00000000" w:rsidRPr="00000000">
        <w:rPr>
          <w:rFonts w:ascii="Helvetica Neue" w:cs="Helvetica Neue" w:eastAsia="Helvetica Neue" w:hAnsi="Helvetica Neue"/>
          <w:sz w:val="23"/>
          <w:szCs w:val="23"/>
          <w:rtl w:val="0"/>
        </w:rPr>
        <w:t xml:space="preserve">If the Participating University Animal Care Committee rejects a proposed project or terminates an ongoing project involving animal subjects, the project will not be funded or will no longer be funded by Mitacs. In such cases, Mitacs’ decision will be communicated to academic and partner organizations involved.</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after="220" w:lineRule="auto"/>
        <w:jc w:val="center"/>
        <w:rPr>
          <w:rFonts w:ascii="Helvetica Neue" w:cs="Helvetica Neue" w:eastAsia="Helvetica Neue" w:hAnsi="Helvetica Neue"/>
          <w:sz w:val="23"/>
          <w:szCs w:val="23"/>
        </w:rPr>
      </w:pPr>
      <w:r w:rsidDel="00000000" w:rsidR="00000000" w:rsidRPr="00000000">
        <w:rPr>
          <w:rFonts w:ascii="Helvetica Neue" w:cs="Helvetica Neue" w:eastAsia="Helvetica Neue" w:hAnsi="Helvetica Neue"/>
          <w:sz w:val="23"/>
          <w:szCs w:val="23"/>
        </w:rPr>
        <w:drawing>
          <wp:inline distB="114300" distT="114300" distL="114300" distR="114300">
            <wp:extent cx="5943600" cy="533400"/>
            <wp:effectExtent b="0" l="0" r="0" t="0"/>
            <wp:docPr descr="Government logos" id="1" name="image1.png"/>
            <a:graphic>
              <a:graphicData uri="http://schemas.openxmlformats.org/drawingml/2006/picture">
                <pic:pic>
                  <pic:nvPicPr>
                    <pic:cNvPr descr="Government logos" id="0" name="image1.png"/>
                    <pic:cNvPicPr preferRelativeResize="0"/>
                  </pic:nvPicPr>
                  <pic:blipFill>
                    <a:blip r:embed="rId6"/>
                    <a:srcRect b="0" l="0" r="0" t="0"/>
                    <a:stretch>
                      <a:fillRect/>
                    </a:stretch>
                  </pic:blipFill>
                  <pic:spPr>
                    <a:xfrm>
                      <a:off x="0" y="0"/>
                      <a:ext cx="5943600" cy="5334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Helvetica Neue" w:cs="Helvetica Neue" w:eastAsia="Helvetica Neue" w:hAnsi="Helvetica Neue"/>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