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40" w:before="0" w:line="306.3829787234043" w:lineRule="auto"/>
        <w:rPr>
          <w:rFonts w:ascii="Helvetica Neue" w:cs="Helvetica Neue" w:eastAsia="Helvetica Neue" w:hAnsi="Helvetica Neue"/>
          <w:color w:val="1aa3dd"/>
          <w:sz w:val="63"/>
          <w:szCs w:val="63"/>
        </w:rPr>
      </w:pPr>
      <w:bookmarkStart w:colFirst="0" w:colLast="0" w:name="_wx1r3kysm8mz" w:id="0"/>
      <w:bookmarkEnd w:id="0"/>
      <w:r w:rsidDel="00000000" w:rsidR="00000000" w:rsidRPr="00000000">
        <w:rPr>
          <w:rFonts w:ascii="Helvetica Neue" w:cs="Helvetica Neue" w:eastAsia="Helvetica Neue" w:hAnsi="Helvetica Neue"/>
          <w:color w:val="1aa3dd"/>
          <w:sz w:val="63"/>
          <w:szCs w:val="63"/>
          <w:rtl w:val="0"/>
        </w:rPr>
        <w:t xml:space="preserve">Conflict of Interest Policy</w:t>
      </w:r>
    </w:p>
    <w:p w:rsidR="00000000" w:rsidDel="00000000" w:rsidP="00000000" w:rsidRDefault="00000000" w:rsidRPr="00000000" w14:paraId="00000002">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306.66666666666663" w:lineRule="auto"/>
        <w:rPr>
          <w:rFonts w:ascii="Helvetica Neue" w:cs="Helvetica Neue" w:eastAsia="Helvetica Neue" w:hAnsi="Helvetica Neue"/>
          <w:i w:val="1"/>
          <w:color w:val="000000"/>
          <w:sz w:val="30"/>
          <w:szCs w:val="30"/>
        </w:rPr>
      </w:pPr>
      <w:bookmarkStart w:colFirst="0" w:colLast="0" w:name="_l33mtsbfk0n9" w:id="1"/>
      <w:bookmarkEnd w:id="1"/>
      <w:r w:rsidDel="00000000" w:rsidR="00000000" w:rsidRPr="00000000">
        <w:rPr>
          <w:rFonts w:ascii="Helvetica Neue" w:cs="Helvetica Neue" w:eastAsia="Helvetica Neue" w:hAnsi="Helvetica Neue"/>
          <w:i w:val="1"/>
          <w:color w:val="000000"/>
          <w:sz w:val="30"/>
          <w:szCs w:val="30"/>
          <w:rtl w:val="0"/>
        </w:rPr>
        <w:t xml:space="preserve">Conflict of Interest Policy – Program Participants</w:t>
      </w:r>
    </w:p>
    <w:p w:rsidR="00000000" w:rsidDel="00000000" w:rsidP="00000000" w:rsidRDefault="00000000" w:rsidRPr="00000000" w14:paraId="00000003">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306.66666666666663" w:lineRule="auto"/>
        <w:rPr>
          <w:rFonts w:ascii="Helvetica Neue" w:cs="Helvetica Neue" w:eastAsia="Helvetica Neue" w:hAnsi="Helvetica Neue"/>
          <w:color w:val="000000"/>
          <w:sz w:val="30"/>
          <w:szCs w:val="30"/>
        </w:rPr>
      </w:pPr>
      <w:bookmarkStart w:colFirst="0" w:colLast="0" w:name="_l33mtsbfk0n9" w:id="1"/>
      <w:bookmarkEnd w:id="1"/>
      <w:r w:rsidDel="00000000" w:rsidR="00000000" w:rsidRPr="00000000">
        <w:rPr>
          <w:rFonts w:ascii="Helvetica Neue" w:cs="Helvetica Neue" w:eastAsia="Helvetica Neue" w:hAnsi="Helvetica Neue"/>
          <w:color w:val="000000"/>
          <w:sz w:val="30"/>
          <w:szCs w:val="30"/>
          <w:rtl w:val="0"/>
        </w:rPr>
        <w:t xml:space="preserve"> </w:t>
      </w:r>
    </w:p>
    <w:p w:rsidR="00000000" w:rsidDel="00000000" w:rsidP="00000000" w:rsidRDefault="00000000" w:rsidRPr="00000000" w14:paraId="00000004">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306.66666666666663" w:lineRule="auto"/>
        <w:rPr>
          <w:rFonts w:ascii="Helvetica Neue" w:cs="Helvetica Neue" w:eastAsia="Helvetica Neue" w:hAnsi="Helvetica Neue"/>
          <w:color w:val="000000"/>
          <w:sz w:val="30"/>
          <w:szCs w:val="30"/>
        </w:rPr>
      </w:pPr>
      <w:bookmarkStart w:colFirst="0" w:colLast="0" w:name="_2f9g5g60ckcy" w:id="2"/>
      <w:bookmarkEnd w:id="2"/>
      <w:r w:rsidDel="00000000" w:rsidR="00000000" w:rsidRPr="00000000">
        <w:rPr>
          <w:rFonts w:ascii="Helvetica Neue" w:cs="Helvetica Neue" w:eastAsia="Helvetica Neue" w:hAnsi="Helvetica Neue"/>
          <w:color w:val="000000"/>
          <w:sz w:val="30"/>
          <w:szCs w:val="30"/>
          <w:rtl w:val="0"/>
        </w:rPr>
        <w:t xml:space="preserve">1. What is a conflict of interest?</w:t>
      </w:r>
    </w:p>
    <w:p w:rsidR="00000000" w:rsidDel="00000000" w:rsidP="00000000" w:rsidRDefault="00000000" w:rsidRPr="00000000" w14:paraId="00000005">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306.66666666666663" w:lineRule="auto"/>
        <w:rPr>
          <w:rFonts w:ascii="Helvetica Neue" w:cs="Helvetica Neue" w:eastAsia="Helvetica Neue" w:hAnsi="Helvetica Neue"/>
          <w:color w:val="000000"/>
          <w:sz w:val="30"/>
          <w:szCs w:val="30"/>
        </w:rPr>
      </w:pPr>
      <w:bookmarkStart w:colFirst="0" w:colLast="0" w:name="_2f9g5g60ckcy" w:id="2"/>
      <w:bookmarkEnd w:id="2"/>
      <w:r w:rsidDel="00000000" w:rsidR="00000000" w:rsidRPr="00000000">
        <w:rPr>
          <w:rFonts w:ascii="Helvetica Neue" w:cs="Helvetica Neue" w:eastAsia="Helvetica Neue" w:hAnsi="Helvetica Neue"/>
          <w:color w:val="000000"/>
          <w:sz w:val="30"/>
          <w:szCs w:val="30"/>
          <w:rtl w:val="0"/>
        </w:rPr>
        <w:t xml:space="preserve"> </w:t>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Helvetica Neue" w:cs="Helvetica Neue" w:eastAsia="Helvetica Neue" w:hAnsi="Helvetica Neue"/>
          <w:sz w:val="23"/>
          <w:szCs w:val="23"/>
        </w:rPr>
      </w:pPr>
      <w:r w:rsidDel="00000000" w:rsidR="00000000" w:rsidRPr="00000000">
        <w:rPr>
          <w:rFonts w:ascii="Helvetica Neue" w:cs="Helvetica Neue" w:eastAsia="Helvetica Neue" w:hAnsi="Helvetica Neue"/>
          <w:sz w:val="23"/>
          <w:szCs w:val="23"/>
          <w:rtl w:val="0"/>
        </w:rPr>
        <w:t xml:space="preserve">A conflict of interest (COI) is a situation in which an individual has competing interests or loyalties that could potentially affect their decision-making. </w:t>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Helvetica Neue" w:cs="Helvetica Neue" w:eastAsia="Helvetica Neue" w:hAnsi="Helvetica Neue"/>
          <w:sz w:val="23"/>
          <w:szCs w:val="23"/>
        </w:rPr>
      </w:pPr>
      <w:r w:rsidDel="00000000" w:rsidR="00000000" w:rsidRPr="00000000">
        <w:rPr>
          <w:rFonts w:ascii="Helvetica Neue" w:cs="Helvetica Neue" w:eastAsia="Helvetica Neue" w:hAnsi="Helvetica Neue"/>
          <w:sz w:val="23"/>
          <w:szCs w:val="23"/>
          <w:rtl w:val="0"/>
        </w:rPr>
        <w:t xml:space="preserve">A COI is a situation, not an accusation. Being in a COI is not the same as being corrupt, and pointing out that someone is in a COI is not the same as accusing them of bias or lack of integrity. </w:t>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Helvetica Neue" w:cs="Helvetica Neue" w:eastAsia="Helvetica Neue" w:hAnsi="Helvetica Neue"/>
          <w:sz w:val="23"/>
          <w:szCs w:val="23"/>
        </w:rPr>
      </w:pPr>
      <w:r w:rsidDel="00000000" w:rsidR="00000000" w:rsidRPr="00000000">
        <w:rPr>
          <w:rFonts w:ascii="Helvetica Neue" w:cs="Helvetica Neue" w:eastAsia="Helvetica Neue" w:hAnsi="Helvetica Neue"/>
          <w:sz w:val="23"/>
          <w:szCs w:val="23"/>
          <w:rtl w:val="0"/>
        </w:rPr>
        <w:t xml:space="preserve">A COI, if not dealt with properly, may leave doubt about the objectivity of a decision-making process, or about the integrity of the research project. </w:t>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Helvetica Neue" w:cs="Helvetica Neue" w:eastAsia="Helvetica Neue" w:hAnsi="Helvetica Neue"/>
          <w:sz w:val="23"/>
          <w:szCs w:val="23"/>
        </w:rPr>
      </w:pPr>
      <w:r w:rsidDel="00000000" w:rsidR="00000000" w:rsidRPr="00000000">
        <w:rPr>
          <w:rFonts w:ascii="Helvetica Neue" w:cs="Helvetica Neue" w:eastAsia="Helvetica Neue" w:hAnsi="Helvetica Neue"/>
          <w:sz w:val="23"/>
          <w:szCs w:val="23"/>
          <w:rtl w:val="0"/>
        </w:rPr>
        <w:t xml:space="preserve">Being in a COI does not necessarily bar you from participation in a Mitacs program. Mitacs reviews each situation to see if the COI can be managed, and how. </w:t>
      </w:r>
    </w:p>
    <w:p w:rsidR="00000000" w:rsidDel="00000000" w:rsidP="00000000" w:rsidRDefault="00000000" w:rsidRPr="00000000" w14:paraId="0000000A">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306.66666666666663" w:lineRule="auto"/>
        <w:rPr>
          <w:rFonts w:ascii="Helvetica Neue" w:cs="Helvetica Neue" w:eastAsia="Helvetica Neue" w:hAnsi="Helvetica Neue"/>
          <w:color w:val="000000"/>
          <w:sz w:val="30"/>
          <w:szCs w:val="30"/>
        </w:rPr>
      </w:pPr>
      <w:bookmarkStart w:colFirst="0" w:colLast="0" w:name="_a66jkze153s" w:id="3"/>
      <w:bookmarkEnd w:id="3"/>
      <w:r w:rsidDel="00000000" w:rsidR="00000000" w:rsidRPr="00000000">
        <w:rPr>
          <w:rFonts w:ascii="Helvetica Neue" w:cs="Helvetica Neue" w:eastAsia="Helvetica Neue" w:hAnsi="Helvetica Neue"/>
          <w:color w:val="000000"/>
          <w:sz w:val="30"/>
          <w:szCs w:val="30"/>
          <w:rtl w:val="0"/>
        </w:rPr>
        <w:t xml:space="preserve">2. Is it a COI if the academic supervisor has a position of ownership, employment, or influence over the daily operations at the partner organization?</w:t>
      </w:r>
    </w:p>
    <w:p w:rsidR="00000000" w:rsidDel="00000000" w:rsidP="00000000" w:rsidRDefault="00000000" w:rsidRPr="00000000" w14:paraId="0000000B">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306.66666666666663" w:lineRule="auto"/>
        <w:rPr>
          <w:rFonts w:ascii="Helvetica Neue" w:cs="Helvetica Neue" w:eastAsia="Helvetica Neue" w:hAnsi="Helvetica Neue"/>
          <w:color w:val="000000"/>
          <w:sz w:val="30"/>
          <w:szCs w:val="30"/>
        </w:rPr>
      </w:pPr>
      <w:bookmarkStart w:colFirst="0" w:colLast="0" w:name="_a66jkze153s" w:id="3"/>
      <w:bookmarkEnd w:id="3"/>
      <w:r w:rsidDel="00000000" w:rsidR="00000000" w:rsidRPr="00000000">
        <w:rPr>
          <w:rFonts w:ascii="Helvetica Neue" w:cs="Helvetica Neue" w:eastAsia="Helvetica Neue" w:hAnsi="Helvetica Neue"/>
          <w:color w:val="000000"/>
          <w:sz w:val="30"/>
          <w:szCs w:val="30"/>
          <w:rtl w:val="0"/>
        </w:rPr>
        <w:t xml:space="preserve"> </w:t>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Helvetica Neue" w:cs="Helvetica Neue" w:eastAsia="Helvetica Neue" w:hAnsi="Helvetica Neue"/>
          <w:sz w:val="23"/>
          <w:szCs w:val="23"/>
        </w:rPr>
      </w:pPr>
      <w:r w:rsidDel="00000000" w:rsidR="00000000" w:rsidRPr="00000000">
        <w:rPr>
          <w:rFonts w:ascii="Helvetica Neue" w:cs="Helvetica Neue" w:eastAsia="Helvetica Neue" w:hAnsi="Helvetica Neue"/>
          <w:sz w:val="23"/>
          <w:szCs w:val="23"/>
          <w:rtl w:val="0"/>
        </w:rPr>
        <w:t xml:space="preserve">Academic supervisors who have a position of ownership, employment, or influence over the daily operations of a partner organization are in a COI. In such cases, the individual’s responsibilities to their academic institution and their students may conflict with their responsibilities to the partner organization. Whenever there is potential for such COIs to occur, the COI must be disclosed to Mitacs. </w:t>
      </w:r>
    </w:p>
    <w:p w:rsidR="00000000" w:rsidDel="00000000" w:rsidP="00000000" w:rsidRDefault="00000000" w:rsidRPr="00000000" w14:paraId="0000000D">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306.66666666666663" w:lineRule="auto"/>
        <w:rPr>
          <w:rFonts w:ascii="Helvetica Neue" w:cs="Helvetica Neue" w:eastAsia="Helvetica Neue" w:hAnsi="Helvetica Neue"/>
          <w:color w:val="000000"/>
          <w:sz w:val="30"/>
          <w:szCs w:val="30"/>
        </w:rPr>
      </w:pPr>
      <w:bookmarkStart w:colFirst="0" w:colLast="0" w:name="_h1ve1tt2hxi8" w:id="4"/>
      <w:bookmarkEnd w:id="4"/>
      <w:r w:rsidDel="00000000" w:rsidR="00000000" w:rsidRPr="00000000">
        <w:rPr>
          <w:rFonts w:ascii="Helvetica Neue" w:cs="Helvetica Neue" w:eastAsia="Helvetica Neue" w:hAnsi="Helvetica Neue"/>
          <w:color w:val="000000"/>
          <w:sz w:val="30"/>
          <w:szCs w:val="30"/>
          <w:rtl w:val="0"/>
        </w:rPr>
        <w:t xml:space="preserve">3. Is it a COI if the student/postdoctoral fellow has a position of ownership, employment, or influence over the daily operations at the partner organization?</w:t>
      </w:r>
    </w:p>
    <w:p w:rsidR="00000000" w:rsidDel="00000000" w:rsidP="00000000" w:rsidRDefault="00000000" w:rsidRPr="00000000" w14:paraId="0000000E">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306.66666666666663" w:lineRule="auto"/>
        <w:rPr>
          <w:rFonts w:ascii="Helvetica Neue" w:cs="Helvetica Neue" w:eastAsia="Helvetica Neue" w:hAnsi="Helvetica Neue"/>
          <w:color w:val="000000"/>
          <w:sz w:val="30"/>
          <w:szCs w:val="30"/>
        </w:rPr>
      </w:pPr>
      <w:bookmarkStart w:colFirst="0" w:colLast="0" w:name="_h1ve1tt2hxi8" w:id="4"/>
      <w:bookmarkEnd w:id="4"/>
      <w:r w:rsidDel="00000000" w:rsidR="00000000" w:rsidRPr="00000000">
        <w:rPr>
          <w:rFonts w:ascii="Helvetica Neue" w:cs="Helvetica Neue" w:eastAsia="Helvetica Neue" w:hAnsi="Helvetica Neue"/>
          <w:color w:val="000000"/>
          <w:sz w:val="30"/>
          <w:szCs w:val="30"/>
          <w:rtl w:val="0"/>
        </w:rPr>
        <w:t xml:space="preserve"> </w:t>
      </w:r>
    </w:p>
    <w:p w:rsidR="00000000" w:rsidDel="00000000" w:rsidP="00000000" w:rsidRDefault="00000000" w:rsidRPr="00000000" w14:paraId="0000000F">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Helvetica Neue" w:cs="Helvetica Neue" w:eastAsia="Helvetica Neue" w:hAnsi="Helvetica Neue"/>
          <w:sz w:val="23"/>
          <w:szCs w:val="23"/>
        </w:rPr>
      </w:pPr>
      <w:r w:rsidDel="00000000" w:rsidR="00000000" w:rsidRPr="00000000">
        <w:rPr>
          <w:rFonts w:ascii="Helvetica Neue" w:cs="Helvetica Neue" w:eastAsia="Helvetica Neue" w:hAnsi="Helvetica Neue"/>
          <w:sz w:val="23"/>
          <w:szCs w:val="23"/>
          <w:rtl w:val="0"/>
        </w:rPr>
        <w:t xml:space="preserve">Students/postdoctoral fellows who have a position of ownership, employment, or influence over the daily operations at the partner organization are in a COI. Such conflicts must be disclosed to Mitacs. </w:t>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Helvetica Neue" w:cs="Helvetica Neue" w:eastAsia="Helvetica Neue" w:hAnsi="Helvetica Neue"/>
          <w:sz w:val="23"/>
          <w:szCs w:val="23"/>
        </w:rPr>
      </w:pPr>
      <w:r w:rsidDel="00000000" w:rsidR="00000000" w:rsidRPr="00000000">
        <w:rPr>
          <w:rFonts w:ascii="Helvetica Neue" w:cs="Helvetica Neue" w:eastAsia="Helvetica Neue" w:hAnsi="Helvetica Neue"/>
          <w:sz w:val="23"/>
          <w:szCs w:val="23"/>
          <w:rtl w:val="0"/>
        </w:rPr>
        <w:t xml:space="preserve">Besides the COI, such cases may be disqualified by the eligibility rules for certain Mitacs programs. For example, Accelerate interns are normally not allowed to be employees of the partner organization at the time they undertake their internship. Mitacs may grant exceptions in some cases; in general, each situation is reviewed individually. </w:t>
      </w:r>
    </w:p>
    <w:p w:rsidR="00000000" w:rsidDel="00000000" w:rsidP="00000000" w:rsidRDefault="00000000" w:rsidRPr="00000000" w14:paraId="00000011">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Helvetica Neue" w:cs="Helvetica Neue" w:eastAsia="Helvetica Neue" w:hAnsi="Helvetica Neue"/>
          <w:sz w:val="23"/>
          <w:szCs w:val="23"/>
        </w:rPr>
      </w:pPr>
      <w:r w:rsidDel="00000000" w:rsidR="00000000" w:rsidRPr="00000000">
        <w:rPr>
          <w:rFonts w:ascii="Helvetica Neue" w:cs="Helvetica Neue" w:eastAsia="Helvetica Neue" w:hAnsi="Helvetica Neue"/>
          <w:sz w:val="23"/>
          <w:szCs w:val="23"/>
          <w:rtl w:val="0"/>
        </w:rPr>
        <w:t xml:space="preserve">One broad exception is the Mitacs Accelerate Entrepreneur program. In this program, student/postdoctoral entrepreneurship and ownership of the partner organization is a core element so the intern cannot be disqualified based on ownership/employment/influence at the partner organization. However, the COI must still be disclosed to Mitacs. </w:t>
      </w:r>
    </w:p>
    <w:p w:rsidR="00000000" w:rsidDel="00000000" w:rsidP="00000000" w:rsidRDefault="00000000" w:rsidRPr="00000000" w14:paraId="00000012">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306.66666666666663" w:lineRule="auto"/>
        <w:rPr>
          <w:rFonts w:ascii="Helvetica Neue" w:cs="Helvetica Neue" w:eastAsia="Helvetica Neue" w:hAnsi="Helvetica Neue"/>
          <w:color w:val="000000"/>
          <w:sz w:val="30"/>
          <w:szCs w:val="30"/>
        </w:rPr>
      </w:pPr>
      <w:bookmarkStart w:colFirst="0" w:colLast="0" w:name="_vivnvcgz96bh" w:id="5"/>
      <w:bookmarkEnd w:id="5"/>
      <w:r w:rsidDel="00000000" w:rsidR="00000000" w:rsidRPr="00000000">
        <w:rPr>
          <w:rFonts w:ascii="Helvetica Neue" w:cs="Helvetica Neue" w:eastAsia="Helvetica Neue" w:hAnsi="Helvetica Neue"/>
          <w:color w:val="000000"/>
          <w:sz w:val="30"/>
          <w:szCs w:val="30"/>
          <w:rtl w:val="0"/>
        </w:rPr>
        <w:t xml:space="preserve">4. Is it a COI if program participants have a close family relationship or intimate relationship with each other, or with someone in a position of ownership, employment, or influence at the partner organization?</w:t>
      </w:r>
    </w:p>
    <w:p w:rsidR="00000000" w:rsidDel="00000000" w:rsidP="00000000" w:rsidRDefault="00000000" w:rsidRPr="00000000" w14:paraId="00000013">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306.66666666666663" w:lineRule="auto"/>
        <w:rPr>
          <w:rFonts w:ascii="Helvetica Neue" w:cs="Helvetica Neue" w:eastAsia="Helvetica Neue" w:hAnsi="Helvetica Neue"/>
          <w:color w:val="000000"/>
          <w:sz w:val="30"/>
          <w:szCs w:val="30"/>
        </w:rPr>
      </w:pPr>
      <w:bookmarkStart w:colFirst="0" w:colLast="0" w:name="_vivnvcgz96bh" w:id="5"/>
      <w:bookmarkEnd w:id="5"/>
      <w:r w:rsidDel="00000000" w:rsidR="00000000" w:rsidRPr="00000000">
        <w:rPr>
          <w:rFonts w:ascii="Helvetica Neue" w:cs="Helvetica Neue" w:eastAsia="Helvetica Neue" w:hAnsi="Helvetica Neue"/>
          <w:color w:val="000000"/>
          <w:sz w:val="30"/>
          <w:szCs w:val="30"/>
          <w:rtl w:val="0"/>
        </w:rPr>
        <w:t xml:space="preserve"> </w:t>
      </w:r>
    </w:p>
    <w:p w:rsidR="00000000" w:rsidDel="00000000" w:rsidP="00000000" w:rsidRDefault="00000000" w:rsidRPr="00000000" w14:paraId="00000014">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Helvetica Neue" w:cs="Helvetica Neue" w:eastAsia="Helvetica Neue" w:hAnsi="Helvetica Neue"/>
          <w:sz w:val="23"/>
          <w:szCs w:val="23"/>
        </w:rPr>
      </w:pPr>
      <w:r w:rsidDel="00000000" w:rsidR="00000000" w:rsidRPr="00000000">
        <w:rPr>
          <w:rFonts w:ascii="Helvetica Neue" w:cs="Helvetica Neue" w:eastAsia="Helvetica Neue" w:hAnsi="Helvetica Neue"/>
          <w:sz w:val="23"/>
          <w:szCs w:val="23"/>
          <w:rtl w:val="0"/>
        </w:rPr>
        <w:t xml:space="preserve">If program participants have a close family relationship or an intimate relationship with each other, Mitacs considers this a COI. </w:t>
      </w:r>
    </w:p>
    <w:p w:rsidR="00000000" w:rsidDel="00000000" w:rsidP="00000000" w:rsidRDefault="00000000" w:rsidRPr="00000000" w14:paraId="00000015">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Helvetica Neue" w:cs="Helvetica Neue" w:eastAsia="Helvetica Neue" w:hAnsi="Helvetica Neue"/>
          <w:sz w:val="23"/>
          <w:szCs w:val="23"/>
        </w:rPr>
      </w:pPr>
      <w:r w:rsidDel="00000000" w:rsidR="00000000" w:rsidRPr="00000000">
        <w:rPr>
          <w:rFonts w:ascii="Helvetica Neue" w:cs="Helvetica Neue" w:eastAsia="Helvetica Neue" w:hAnsi="Helvetica Neue"/>
          <w:sz w:val="23"/>
          <w:szCs w:val="23"/>
          <w:rtl w:val="0"/>
        </w:rPr>
        <w:t xml:space="preserve">If an academic supervisor or student/postdoctoral fellow has a relationship with the partner organization – for example, if a close relative has a position of ownership, employment, or influence at the partner organization – Mitacs treats this as a COI. </w:t>
      </w:r>
    </w:p>
    <w:p w:rsidR="00000000" w:rsidDel="00000000" w:rsidP="00000000" w:rsidRDefault="00000000" w:rsidRPr="00000000" w14:paraId="00000016">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Helvetica Neue" w:cs="Helvetica Neue" w:eastAsia="Helvetica Neue" w:hAnsi="Helvetica Neue"/>
          <w:sz w:val="23"/>
          <w:szCs w:val="23"/>
        </w:rPr>
      </w:pPr>
      <w:r w:rsidDel="00000000" w:rsidR="00000000" w:rsidRPr="00000000">
        <w:rPr>
          <w:rFonts w:ascii="Helvetica Neue" w:cs="Helvetica Neue" w:eastAsia="Helvetica Neue" w:hAnsi="Helvetica Neue"/>
          <w:sz w:val="23"/>
          <w:szCs w:val="23"/>
          <w:rtl w:val="0"/>
        </w:rPr>
        <w:t xml:space="preserve">Each situation is reviewed individually. Normally, Mitacs will not support an internship where the intern is related to an individual at the partner organization who makes or could influence hiring decisions. </w:t>
      </w:r>
    </w:p>
    <w:p w:rsidR="00000000" w:rsidDel="00000000" w:rsidP="00000000" w:rsidRDefault="00000000" w:rsidRPr="00000000" w14:paraId="00000017">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306.66666666666663" w:lineRule="auto"/>
        <w:rPr>
          <w:rFonts w:ascii="Helvetica Neue" w:cs="Helvetica Neue" w:eastAsia="Helvetica Neue" w:hAnsi="Helvetica Neue"/>
          <w:color w:val="000000"/>
          <w:sz w:val="30"/>
          <w:szCs w:val="30"/>
        </w:rPr>
      </w:pPr>
      <w:bookmarkStart w:colFirst="0" w:colLast="0" w:name="_ftqipnj5xqsx" w:id="6"/>
      <w:bookmarkEnd w:id="6"/>
      <w:r w:rsidDel="00000000" w:rsidR="00000000" w:rsidRPr="00000000">
        <w:rPr>
          <w:rFonts w:ascii="Helvetica Neue" w:cs="Helvetica Neue" w:eastAsia="Helvetica Neue" w:hAnsi="Helvetica Neue"/>
          <w:color w:val="000000"/>
          <w:sz w:val="30"/>
          <w:szCs w:val="30"/>
          <w:rtl w:val="0"/>
        </w:rPr>
        <w:t xml:space="preserve">5. How does Mitacs determine the management of a COI?</w:t>
      </w:r>
    </w:p>
    <w:p w:rsidR="00000000" w:rsidDel="00000000" w:rsidP="00000000" w:rsidRDefault="00000000" w:rsidRPr="00000000" w14:paraId="00000018">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306.66666666666663" w:lineRule="auto"/>
        <w:rPr>
          <w:rFonts w:ascii="Helvetica Neue" w:cs="Helvetica Neue" w:eastAsia="Helvetica Neue" w:hAnsi="Helvetica Neue"/>
          <w:color w:val="000000"/>
          <w:sz w:val="30"/>
          <w:szCs w:val="30"/>
        </w:rPr>
      </w:pPr>
      <w:bookmarkStart w:colFirst="0" w:colLast="0" w:name="_ftqipnj5xqsx" w:id="6"/>
      <w:bookmarkEnd w:id="6"/>
      <w:r w:rsidDel="00000000" w:rsidR="00000000" w:rsidRPr="00000000">
        <w:rPr>
          <w:rFonts w:ascii="Helvetica Neue" w:cs="Helvetica Neue" w:eastAsia="Helvetica Neue" w:hAnsi="Helvetica Neue"/>
          <w:color w:val="000000"/>
          <w:sz w:val="30"/>
          <w:szCs w:val="30"/>
          <w:rtl w:val="0"/>
        </w:rPr>
        <w:t xml:space="preserve"> </w:t>
      </w:r>
    </w:p>
    <w:p w:rsidR="00000000" w:rsidDel="00000000" w:rsidP="00000000" w:rsidRDefault="00000000" w:rsidRPr="00000000" w14:paraId="00000019">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Helvetica Neue" w:cs="Helvetica Neue" w:eastAsia="Helvetica Neue" w:hAnsi="Helvetica Neue"/>
          <w:b w:val="1"/>
          <w:sz w:val="23"/>
          <w:szCs w:val="23"/>
        </w:rPr>
      </w:pPr>
      <w:r w:rsidDel="00000000" w:rsidR="00000000" w:rsidRPr="00000000">
        <w:rPr>
          <w:rFonts w:ascii="Helvetica Neue" w:cs="Helvetica Neue" w:eastAsia="Helvetica Neue" w:hAnsi="Helvetica Neue"/>
          <w:b w:val="1"/>
          <w:sz w:val="23"/>
          <w:szCs w:val="23"/>
          <w:rtl w:val="0"/>
        </w:rPr>
        <w:t xml:space="preserve">Academic supervisor-related COIs: </w:t>
      </w:r>
    </w:p>
    <w:p w:rsidR="00000000" w:rsidDel="00000000" w:rsidP="00000000" w:rsidRDefault="00000000" w:rsidRPr="00000000" w14:paraId="0000001A">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Helvetica Neue" w:cs="Helvetica Neue" w:eastAsia="Helvetica Neue" w:hAnsi="Helvetica Neue"/>
          <w:sz w:val="23"/>
          <w:szCs w:val="23"/>
        </w:rPr>
      </w:pPr>
      <w:r w:rsidDel="00000000" w:rsidR="00000000" w:rsidRPr="00000000">
        <w:rPr>
          <w:rFonts w:ascii="Helvetica Neue" w:cs="Helvetica Neue" w:eastAsia="Helvetica Neue" w:hAnsi="Helvetica Neue"/>
          <w:sz w:val="23"/>
          <w:szCs w:val="23"/>
          <w:rtl w:val="0"/>
        </w:rPr>
        <w:t xml:space="preserve">Mitacs requires the following information from the academic supervisor (You can either submit your institution’s conflict of interest declaration form or fill out the </w:t>
      </w:r>
      <w:r w:rsidDel="00000000" w:rsidR="00000000" w:rsidRPr="00000000">
        <w:rPr>
          <w:rFonts w:ascii="Helvetica Neue" w:cs="Helvetica Neue" w:eastAsia="Helvetica Neue" w:hAnsi="Helvetica Neue"/>
          <w:sz w:val="23"/>
          <w:szCs w:val="23"/>
          <w:rtl w:val="0"/>
        </w:rPr>
        <w:t xml:space="preserve">Academic Institution Acknowledgement of Conflict(s) of Interest for Mitacs Applications form</w:t>
      </w:r>
      <w:r w:rsidDel="00000000" w:rsidR="00000000" w:rsidRPr="00000000">
        <w:rPr>
          <w:rFonts w:ascii="Helvetica Neue" w:cs="Helvetica Neue" w:eastAsia="Helvetica Neue" w:hAnsi="Helvetica Neue"/>
          <w:sz w:val="23"/>
          <w:szCs w:val="23"/>
          <w:rtl w:val="0"/>
        </w:rPr>
        <w:t xml:space="preserve">):</w:t>
      </w:r>
    </w:p>
    <w:p w:rsidR="00000000" w:rsidDel="00000000" w:rsidP="00000000" w:rsidRDefault="00000000" w:rsidRPr="00000000" w14:paraId="0000001B">
      <w:pPr>
        <w:numPr>
          <w:ilvl w:val="0"/>
          <w:numId w:val="3"/>
        </w:numPr>
        <w:pBdr>
          <w:top w:color="auto" w:space="0" w:sz="0" w:val="none"/>
          <w:bottom w:color="auto" w:space="0" w:sz="0" w:val="none"/>
          <w:right w:color="auto" w:space="0" w:sz="0" w:val="none"/>
          <w:between w:color="auto" w:space="0" w:sz="0" w:val="none"/>
        </w:pBdr>
        <w:spacing w:after="0" w:afterAutospacing="0" w:lineRule="auto"/>
        <w:ind w:left="1020" w:hanging="360"/>
      </w:pPr>
      <w:r w:rsidDel="00000000" w:rsidR="00000000" w:rsidRPr="00000000">
        <w:rPr>
          <w:rFonts w:ascii="Helvetica Neue" w:cs="Helvetica Neue" w:eastAsia="Helvetica Neue" w:hAnsi="Helvetica Neue"/>
          <w:sz w:val="23"/>
          <w:szCs w:val="23"/>
          <w:rtl w:val="0"/>
        </w:rPr>
        <w:t xml:space="preserve">Details on the nature of the supervisor’s COI;</w:t>
      </w:r>
    </w:p>
    <w:p w:rsidR="00000000" w:rsidDel="00000000" w:rsidP="00000000" w:rsidRDefault="00000000" w:rsidRPr="00000000" w14:paraId="0000001C">
      <w:pPr>
        <w:numPr>
          <w:ilvl w:val="0"/>
          <w:numId w:val="3"/>
        </w:numPr>
        <w:pBdr>
          <w:top w:color="auto" w:space="0" w:sz="0" w:val="none"/>
          <w:bottom w:color="auto" w:space="0" w:sz="0" w:val="none"/>
          <w:right w:color="auto" w:space="0" w:sz="0" w:val="none"/>
          <w:between w:color="auto" w:space="0" w:sz="0" w:val="none"/>
        </w:pBdr>
        <w:spacing w:after="0" w:afterAutospacing="0" w:lineRule="auto"/>
        <w:ind w:left="1020" w:hanging="360"/>
      </w:pPr>
      <w:r w:rsidDel="00000000" w:rsidR="00000000" w:rsidRPr="00000000">
        <w:rPr>
          <w:rFonts w:ascii="Helvetica Neue" w:cs="Helvetica Neue" w:eastAsia="Helvetica Neue" w:hAnsi="Helvetica Neue"/>
          <w:sz w:val="23"/>
          <w:szCs w:val="23"/>
          <w:rtl w:val="0"/>
        </w:rPr>
        <w:t xml:space="preserve">Evidence that the supervisor’s academic institution is aware of the COI; and </w:t>
      </w:r>
    </w:p>
    <w:p w:rsidR="00000000" w:rsidDel="00000000" w:rsidP="00000000" w:rsidRDefault="00000000" w:rsidRPr="00000000" w14:paraId="0000001D">
      <w:pPr>
        <w:numPr>
          <w:ilvl w:val="0"/>
          <w:numId w:val="3"/>
        </w:numPr>
        <w:pBdr>
          <w:top w:color="auto" w:space="0" w:sz="0" w:val="none"/>
          <w:bottom w:color="auto" w:space="0" w:sz="0" w:val="none"/>
          <w:right w:color="auto" w:space="0" w:sz="0" w:val="none"/>
          <w:between w:color="auto" w:space="0" w:sz="0" w:val="none"/>
        </w:pBdr>
        <w:spacing w:after="220" w:lineRule="auto"/>
        <w:ind w:left="1020" w:hanging="360"/>
      </w:pPr>
      <w:r w:rsidDel="00000000" w:rsidR="00000000" w:rsidRPr="00000000">
        <w:rPr>
          <w:rFonts w:ascii="Helvetica Neue" w:cs="Helvetica Neue" w:eastAsia="Helvetica Neue" w:hAnsi="Helvetica Neue"/>
          <w:sz w:val="23"/>
          <w:szCs w:val="23"/>
          <w:rtl w:val="0"/>
        </w:rPr>
        <w:t xml:space="preserve">A description of the academic institution’s mitigation measures. </w:t>
      </w:r>
    </w:p>
    <w:p w:rsidR="00000000" w:rsidDel="00000000" w:rsidP="00000000" w:rsidRDefault="00000000" w:rsidRPr="00000000" w14:paraId="0000001E">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Helvetica Neue" w:cs="Helvetica Neue" w:eastAsia="Helvetica Neue" w:hAnsi="Helvetica Neue"/>
          <w:sz w:val="23"/>
          <w:szCs w:val="23"/>
        </w:rPr>
      </w:pPr>
      <w:r w:rsidDel="00000000" w:rsidR="00000000" w:rsidRPr="00000000">
        <w:rPr>
          <w:rFonts w:ascii="Helvetica Neue" w:cs="Helvetica Neue" w:eastAsia="Helvetica Neue" w:hAnsi="Helvetica Neue"/>
          <w:sz w:val="23"/>
          <w:szCs w:val="23"/>
          <w:rtl w:val="0"/>
        </w:rPr>
        <w:t xml:space="preserve">When the COI is considered low, generally Mitacs will not require any mitigation measures beyond those of the academic institution. </w:t>
      </w:r>
    </w:p>
    <w:p w:rsidR="00000000" w:rsidDel="00000000" w:rsidP="00000000" w:rsidRDefault="00000000" w:rsidRPr="00000000" w14:paraId="0000001F">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Helvetica Neue" w:cs="Helvetica Neue" w:eastAsia="Helvetica Neue" w:hAnsi="Helvetica Neue"/>
          <w:sz w:val="23"/>
          <w:szCs w:val="23"/>
        </w:rPr>
      </w:pPr>
      <w:r w:rsidDel="00000000" w:rsidR="00000000" w:rsidRPr="00000000">
        <w:rPr>
          <w:rFonts w:ascii="Helvetica Neue" w:cs="Helvetica Neue" w:eastAsia="Helvetica Neue" w:hAnsi="Helvetica Neue"/>
          <w:sz w:val="23"/>
          <w:szCs w:val="23"/>
          <w:rtl w:val="0"/>
        </w:rPr>
        <w:t xml:space="preserve">When the COI is higher, Mitacs may require measures beyond those imposed by the academic institution, including requesting that the academic institution appoint an independent administrator (</w:t>
      </w:r>
      <w:r w:rsidDel="00000000" w:rsidR="00000000" w:rsidRPr="00000000">
        <w:rPr>
          <w:rFonts w:ascii="Helvetica Neue" w:cs="Helvetica Neue" w:eastAsia="Helvetica Neue" w:hAnsi="Helvetica Neue"/>
          <w:sz w:val="23"/>
          <w:szCs w:val="23"/>
          <w:rtl w:val="0"/>
        </w:rPr>
        <w:t xml:space="preserve">Accelerate</w:t>
      </w:r>
      <w:r w:rsidDel="00000000" w:rsidR="00000000" w:rsidRPr="00000000">
        <w:rPr>
          <w:rFonts w:ascii="Helvetica Neue" w:cs="Helvetica Neue" w:eastAsia="Helvetica Neue" w:hAnsi="Helvetica Neue"/>
          <w:sz w:val="23"/>
          <w:szCs w:val="23"/>
          <w:rtl w:val="0"/>
        </w:rPr>
        <w:t xml:space="preserve">, </w:t>
      </w:r>
      <w:r w:rsidDel="00000000" w:rsidR="00000000" w:rsidRPr="00000000">
        <w:rPr>
          <w:rFonts w:ascii="Helvetica Neue" w:cs="Helvetica Neue" w:eastAsia="Helvetica Neue" w:hAnsi="Helvetica Neue"/>
          <w:sz w:val="23"/>
          <w:szCs w:val="23"/>
          <w:rtl w:val="0"/>
        </w:rPr>
        <w:t xml:space="preserve">Elevate</w:t>
      </w:r>
      <w:r w:rsidDel="00000000" w:rsidR="00000000" w:rsidRPr="00000000">
        <w:rPr>
          <w:rFonts w:ascii="Helvetica Neue" w:cs="Helvetica Neue" w:eastAsia="Helvetica Neue" w:hAnsi="Helvetica Neue"/>
          <w:sz w:val="23"/>
          <w:szCs w:val="23"/>
          <w:rtl w:val="0"/>
        </w:rPr>
        <w:t xml:space="preserve">, or </w:t>
      </w:r>
      <w:r w:rsidDel="00000000" w:rsidR="00000000" w:rsidRPr="00000000">
        <w:rPr>
          <w:rFonts w:ascii="Helvetica Neue" w:cs="Helvetica Neue" w:eastAsia="Helvetica Neue" w:hAnsi="Helvetica Neue"/>
          <w:sz w:val="23"/>
          <w:szCs w:val="23"/>
          <w:rtl w:val="0"/>
        </w:rPr>
        <w:t xml:space="preserve">Business Strategy Internship</w:t>
      </w:r>
      <w:r w:rsidDel="00000000" w:rsidR="00000000" w:rsidRPr="00000000">
        <w:rPr>
          <w:rFonts w:ascii="Helvetica Neue" w:cs="Helvetica Neue" w:eastAsia="Helvetica Neue" w:hAnsi="Helvetica Neue"/>
          <w:sz w:val="23"/>
          <w:szCs w:val="23"/>
          <w:rtl w:val="0"/>
        </w:rPr>
        <w:t xml:space="preserve">) to be responsible for managing the grant and ensuring the financial, intellectual property, and intern academic matters of the project comply with the academic institution’s policies. The administrator would also be responsible for ensuring the intern is not unduly influenced by the academic or partner organization supervisors and would provide a declaration that they will act in the best interests of the intern participating in the project. (Note that an independent administrator will always be required when there is an academic supervisor COI related to projects under the Entrepreneurship Initiative.) </w:t>
      </w:r>
    </w:p>
    <w:p w:rsidR="00000000" w:rsidDel="00000000" w:rsidP="00000000" w:rsidRDefault="00000000" w:rsidRPr="00000000" w14:paraId="00000020">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Helvetica Neue" w:cs="Helvetica Neue" w:eastAsia="Helvetica Neue" w:hAnsi="Helvetica Neue"/>
          <w:sz w:val="23"/>
          <w:szCs w:val="23"/>
        </w:rPr>
      </w:pPr>
      <w:r w:rsidDel="00000000" w:rsidR="00000000" w:rsidRPr="00000000">
        <w:rPr>
          <w:rFonts w:ascii="Helvetica Neue" w:cs="Helvetica Neue" w:eastAsia="Helvetica Neue" w:hAnsi="Helvetica Neue"/>
          <w:sz w:val="23"/>
          <w:szCs w:val="23"/>
          <w:rtl w:val="0"/>
        </w:rPr>
        <w:t xml:space="preserve">When the COI is considered unmanageable by the academic institution, Mitacs will not support the project. </w:t>
      </w:r>
    </w:p>
    <w:p w:rsidR="00000000" w:rsidDel="00000000" w:rsidP="00000000" w:rsidRDefault="00000000" w:rsidRPr="00000000" w14:paraId="00000021">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Helvetica Neue" w:cs="Helvetica Neue" w:eastAsia="Helvetica Neue" w:hAnsi="Helvetica Neue"/>
          <w:b w:val="1"/>
          <w:sz w:val="23"/>
          <w:szCs w:val="23"/>
        </w:rPr>
      </w:pPr>
      <w:r w:rsidDel="00000000" w:rsidR="00000000" w:rsidRPr="00000000">
        <w:rPr>
          <w:rFonts w:ascii="Helvetica Neue" w:cs="Helvetica Neue" w:eastAsia="Helvetica Neue" w:hAnsi="Helvetica Neue"/>
          <w:b w:val="1"/>
          <w:sz w:val="23"/>
          <w:szCs w:val="23"/>
          <w:rtl w:val="0"/>
        </w:rPr>
        <w:t xml:space="preserve">Intern/postdoctoral fellow-related COIs (except Accelerate Entrepreneur Initiative): </w:t>
      </w:r>
    </w:p>
    <w:p w:rsidR="00000000" w:rsidDel="00000000" w:rsidP="00000000" w:rsidRDefault="00000000" w:rsidRPr="00000000" w14:paraId="00000022">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Helvetica Neue" w:cs="Helvetica Neue" w:eastAsia="Helvetica Neue" w:hAnsi="Helvetica Neue"/>
          <w:sz w:val="23"/>
          <w:szCs w:val="23"/>
        </w:rPr>
      </w:pPr>
      <w:r w:rsidDel="00000000" w:rsidR="00000000" w:rsidRPr="00000000">
        <w:rPr>
          <w:rFonts w:ascii="Helvetica Neue" w:cs="Helvetica Neue" w:eastAsia="Helvetica Neue" w:hAnsi="Helvetica Neue"/>
          <w:sz w:val="23"/>
          <w:szCs w:val="23"/>
          <w:rtl w:val="0"/>
        </w:rPr>
        <w:t xml:space="preserve">Mitacs requires that interns disclose the details on the nature of the COI by completing the </w:t>
      </w:r>
      <w:r w:rsidDel="00000000" w:rsidR="00000000" w:rsidRPr="00000000">
        <w:rPr>
          <w:rFonts w:ascii="Helvetica Neue" w:cs="Helvetica Neue" w:eastAsia="Helvetica Neue" w:hAnsi="Helvetica Neue"/>
          <w:sz w:val="23"/>
          <w:szCs w:val="23"/>
          <w:rtl w:val="0"/>
        </w:rPr>
        <w:t xml:space="preserve">Mitacs Intern Eligibility and Conflict of Interest Declaration Form</w:t>
      </w:r>
      <w:r w:rsidDel="00000000" w:rsidR="00000000" w:rsidRPr="00000000">
        <w:rPr>
          <w:rFonts w:ascii="Helvetica Neue" w:cs="Helvetica Neue" w:eastAsia="Helvetica Neue" w:hAnsi="Helvetica Neue"/>
          <w:sz w:val="23"/>
          <w:szCs w:val="23"/>
          <w:rtl w:val="0"/>
        </w:rPr>
        <w:t xml:space="preserve">. </w:t>
      </w:r>
    </w:p>
    <w:p w:rsidR="00000000" w:rsidDel="00000000" w:rsidP="00000000" w:rsidRDefault="00000000" w:rsidRPr="00000000" w14:paraId="00000023">
      <w:pPr>
        <w:numPr>
          <w:ilvl w:val="0"/>
          <w:numId w:val="1"/>
        </w:numPr>
        <w:pBdr>
          <w:top w:color="auto" w:space="0" w:sz="0" w:val="none"/>
          <w:bottom w:color="auto" w:space="0" w:sz="0" w:val="none"/>
          <w:right w:color="auto" w:space="0" w:sz="0" w:val="none"/>
          <w:between w:color="auto" w:space="0" w:sz="0" w:val="none"/>
        </w:pBdr>
        <w:spacing w:after="0" w:afterAutospacing="0" w:lineRule="auto"/>
        <w:ind w:left="1020" w:hanging="360"/>
      </w:pPr>
      <w:r w:rsidDel="00000000" w:rsidR="00000000" w:rsidRPr="00000000">
        <w:rPr>
          <w:rFonts w:ascii="Helvetica Neue" w:cs="Helvetica Neue" w:eastAsia="Helvetica Neue" w:hAnsi="Helvetica Neue"/>
          <w:sz w:val="23"/>
          <w:szCs w:val="23"/>
          <w:rtl w:val="0"/>
        </w:rPr>
        <w:t xml:space="preserve">Mitacs will first determine if program eligibility rules are satisfied. </w:t>
      </w:r>
    </w:p>
    <w:p w:rsidR="00000000" w:rsidDel="00000000" w:rsidP="00000000" w:rsidRDefault="00000000" w:rsidRPr="00000000" w14:paraId="00000024">
      <w:pPr>
        <w:numPr>
          <w:ilvl w:val="0"/>
          <w:numId w:val="1"/>
        </w:numPr>
        <w:pBdr>
          <w:top w:color="auto" w:space="0" w:sz="0" w:val="none"/>
          <w:bottom w:color="auto" w:space="0" w:sz="0" w:val="none"/>
          <w:right w:color="auto" w:space="0" w:sz="0" w:val="none"/>
          <w:between w:color="auto" w:space="0" w:sz="0" w:val="none"/>
        </w:pBdr>
        <w:spacing w:after="220" w:lineRule="auto"/>
        <w:ind w:left="1020" w:hanging="360"/>
      </w:pPr>
      <w:r w:rsidDel="00000000" w:rsidR="00000000" w:rsidRPr="00000000">
        <w:rPr>
          <w:rFonts w:ascii="Helvetica Neue" w:cs="Helvetica Neue" w:eastAsia="Helvetica Neue" w:hAnsi="Helvetica Neue"/>
          <w:sz w:val="23"/>
          <w:szCs w:val="23"/>
          <w:rtl w:val="0"/>
        </w:rPr>
        <w:t xml:space="preserve">If so, Mitacs will then review the COI to determine if it is considered unmanageable according to precedent. </w:t>
      </w:r>
    </w:p>
    <w:p w:rsidR="00000000" w:rsidDel="00000000" w:rsidP="00000000" w:rsidRDefault="00000000" w:rsidRPr="00000000" w14:paraId="00000025">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Helvetica Neue" w:cs="Helvetica Neue" w:eastAsia="Helvetica Neue" w:hAnsi="Helvetica Neue"/>
          <w:b w:val="1"/>
          <w:sz w:val="23"/>
          <w:szCs w:val="23"/>
        </w:rPr>
      </w:pPr>
      <w:r w:rsidDel="00000000" w:rsidR="00000000" w:rsidRPr="00000000">
        <w:rPr>
          <w:rFonts w:ascii="Helvetica Neue" w:cs="Helvetica Neue" w:eastAsia="Helvetica Neue" w:hAnsi="Helvetica Neue"/>
          <w:b w:val="1"/>
          <w:sz w:val="23"/>
          <w:szCs w:val="23"/>
          <w:rtl w:val="0"/>
        </w:rPr>
        <w:t xml:space="preserve">Intern/postdoctoral fellow-related COIs – Accelerate Entrepreneur Initiative: </w:t>
      </w:r>
    </w:p>
    <w:p w:rsidR="00000000" w:rsidDel="00000000" w:rsidP="00000000" w:rsidRDefault="00000000" w:rsidRPr="00000000" w14:paraId="00000026">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Helvetica Neue" w:cs="Helvetica Neue" w:eastAsia="Helvetica Neue" w:hAnsi="Helvetica Neue"/>
          <w:sz w:val="23"/>
          <w:szCs w:val="23"/>
        </w:rPr>
      </w:pPr>
      <w:r w:rsidDel="00000000" w:rsidR="00000000" w:rsidRPr="00000000">
        <w:rPr>
          <w:rFonts w:ascii="Helvetica Neue" w:cs="Helvetica Neue" w:eastAsia="Helvetica Neue" w:hAnsi="Helvetica Neue"/>
          <w:sz w:val="23"/>
          <w:szCs w:val="23"/>
          <w:rtl w:val="0"/>
        </w:rPr>
        <w:t xml:space="preserve">Mitacs requires that interns disclose the details on the nature of the COI by completing the </w:t>
      </w:r>
      <w:r w:rsidDel="00000000" w:rsidR="00000000" w:rsidRPr="00000000">
        <w:rPr>
          <w:rFonts w:ascii="Helvetica Neue" w:cs="Helvetica Neue" w:eastAsia="Helvetica Neue" w:hAnsi="Helvetica Neue"/>
          <w:sz w:val="23"/>
          <w:szCs w:val="23"/>
          <w:rtl w:val="0"/>
        </w:rPr>
        <w:t xml:space="preserve">Mitacs Accelerate Entrepreneur COI Declaration Form</w:t>
      </w:r>
      <w:r w:rsidDel="00000000" w:rsidR="00000000" w:rsidRPr="00000000">
        <w:rPr>
          <w:rFonts w:ascii="Helvetica Neue" w:cs="Helvetica Neue" w:eastAsia="Helvetica Neue" w:hAnsi="Helvetica Neue"/>
          <w:sz w:val="23"/>
          <w:szCs w:val="23"/>
          <w:rtl w:val="0"/>
        </w:rPr>
        <w:t xml:space="preserve">. </w:t>
      </w:r>
    </w:p>
    <w:p w:rsidR="00000000" w:rsidDel="00000000" w:rsidP="00000000" w:rsidRDefault="00000000" w:rsidRPr="00000000" w14:paraId="00000027">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Helvetica Neue" w:cs="Helvetica Neue" w:eastAsia="Helvetica Neue" w:hAnsi="Helvetica Neue"/>
          <w:sz w:val="23"/>
          <w:szCs w:val="23"/>
        </w:rPr>
      </w:pPr>
      <w:r w:rsidDel="00000000" w:rsidR="00000000" w:rsidRPr="00000000">
        <w:rPr>
          <w:rFonts w:ascii="Helvetica Neue" w:cs="Helvetica Neue" w:eastAsia="Helvetica Neue" w:hAnsi="Helvetica Neue"/>
          <w:sz w:val="23"/>
          <w:szCs w:val="23"/>
          <w:rtl w:val="0"/>
        </w:rPr>
        <w:t xml:space="preserve">Three requirements must be in place to manage the COI associated with the intern’s ownership/employment/influence at the partner organization: </w:t>
      </w:r>
    </w:p>
    <w:p w:rsidR="00000000" w:rsidDel="00000000" w:rsidP="00000000" w:rsidRDefault="00000000" w:rsidRPr="00000000" w14:paraId="00000028">
      <w:pPr>
        <w:numPr>
          <w:ilvl w:val="0"/>
          <w:numId w:val="4"/>
        </w:numPr>
        <w:pBdr>
          <w:top w:color="auto" w:space="0" w:sz="0" w:val="none"/>
          <w:bottom w:color="auto" w:space="0" w:sz="0" w:val="none"/>
          <w:right w:color="auto" w:space="0" w:sz="0" w:val="none"/>
          <w:between w:color="auto" w:space="0" w:sz="0" w:val="none"/>
        </w:pBdr>
        <w:spacing w:after="0" w:afterAutospacing="0" w:lineRule="auto"/>
        <w:ind w:left="1020" w:hanging="360"/>
      </w:pPr>
      <w:r w:rsidDel="00000000" w:rsidR="00000000" w:rsidRPr="00000000">
        <w:rPr>
          <w:rFonts w:ascii="Helvetica Neue" w:cs="Helvetica Neue" w:eastAsia="Helvetica Neue" w:hAnsi="Helvetica Neue"/>
          <w:sz w:val="23"/>
          <w:szCs w:val="23"/>
          <w:rtl w:val="0"/>
        </w:rPr>
        <w:t xml:space="preserve">The academic institution must be informed and agree that they recognize that the COI is occurring with this particular project;</w:t>
      </w:r>
    </w:p>
    <w:p w:rsidR="00000000" w:rsidDel="00000000" w:rsidP="00000000" w:rsidRDefault="00000000" w:rsidRPr="00000000" w14:paraId="00000029">
      <w:pPr>
        <w:numPr>
          <w:ilvl w:val="0"/>
          <w:numId w:val="4"/>
        </w:numPr>
        <w:pBdr>
          <w:top w:color="auto" w:space="0" w:sz="0" w:val="none"/>
          <w:bottom w:color="auto" w:space="0" w:sz="0" w:val="none"/>
          <w:right w:color="auto" w:space="0" w:sz="0" w:val="none"/>
          <w:between w:color="auto" w:space="0" w:sz="0" w:val="none"/>
        </w:pBdr>
        <w:spacing w:after="0" w:afterAutospacing="0" w:lineRule="auto"/>
        <w:ind w:left="1020" w:hanging="360"/>
      </w:pPr>
      <w:r w:rsidDel="00000000" w:rsidR="00000000" w:rsidRPr="00000000">
        <w:rPr>
          <w:rFonts w:ascii="Helvetica Neue" w:cs="Helvetica Neue" w:eastAsia="Helvetica Neue" w:hAnsi="Helvetica Neue"/>
          <w:sz w:val="23"/>
          <w:szCs w:val="23"/>
          <w:rtl w:val="0"/>
        </w:rPr>
        <w:t xml:space="preserve">The academic supervisor must acknowledge they are aware of the COI and agree to help mitigate it through their supervision; and </w:t>
      </w:r>
    </w:p>
    <w:p w:rsidR="00000000" w:rsidDel="00000000" w:rsidP="00000000" w:rsidRDefault="00000000" w:rsidRPr="00000000" w14:paraId="0000002A">
      <w:pPr>
        <w:numPr>
          <w:ilvl w:val="0"/>
          <w:numId w:val="4"/>
        </w:numPr>
        <w:pBdr>
          <w:top w:color="auto" w:space="0" w:sz="0" w:val="none"/>
          <w:bottom w:color="auto" w:space="0" w:sz="0" w:val="none"/>
          <w:right w:color="auto" w:space="0" w:sz="0" w:val="none"/>
          <w:between w:color="auto" w:space="0" w:sz="0" w:val="none"/>
        </w:pBdr>
        <w:spacing w:after="220" w:lineRule="auto"/>
        <w:ind w:left="1020" w:hanging="360"/>
      </w:pPr>
      <w:r w:rsidDel="00000000" w:rsidR="00000000" w:rsidRPr="00000000">
        <w:rPr>
          <w:rFonts w:ascii="Helvetica Neue" w:cs="Helvetica Neue" w:eastAsia="Helvetica Neue" w:hAnsi="Helvetica Neue"/>
          <w:sz w:val="23"/>
          <w:szCs w:val="23"/>
          <w:rtl w:val="0"/>
        </w:rPr>
        <w:t xml:space="preserve">The incubator where the student is working must acknowledge being aware of the COI and agree to help mitigate it through oversight in the place of a partner organization supervisor. </w:t>
      </w:r>
    </w:p>
    <w:p w:rsidR="00000000" w:rsidDel="00000000" w:rsidP="00000000" w:rsidRDefault="00000000" w:rsidRPr="00000000" w14:paraId="0000002B">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Helvetica Neue" w:cs="Helvetica Neue" w:eastAsia="Helvetica Neue" w:hAnsi="Helvetica Neue"/>
          <w:sz w:val="23"/>
          <w:szCs w:val="23"/>
        </w:rPr>
      </w:pPr>
      <w:r w:rsidDel="00000000" w:rsidR="00000000" w:rsidRPr="00000000">
        <w:rPr>
          <w:rFonts w:ascii="Helvetica Neue" w:cs="Helvetica Neue" w:eastAsia="Helvetica Neue" w:hAnsi="Helvetica Neue"/>
          <w:sz w:val="23"/>
          <w:szCs w:val="23"/>
          <w:rtl w:val="0"/>
        </w:rPr>
        <w:t xml:space="preserve">Mitacs will also review any additional COIs and determine if those are considered unmanageable according to precedent. </w:t>
      </w:r>
    </w:p>
    <w:p w:rsidR="00000000" w:rsidDel="00000000" w:rsidP="00000000" w:rsidRDefault="00000000" w:rsidRPr="00000000" w14:paraId="0000002C">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Helvetica Neue" w:cs="Helvetica Neue" w:eastAsia="Helvetica Neue" w:hAnsi="Helvetica Neue"/>
          <w:b w:val="1"/>
          <w:sz w:val="23"/>
          <w:szCs w:val="23"/>
        </w:rPr>
      </w:pPr>
      <w:r w:rsidDel="00000000" w:rsidR="00000000" w:rsidRPr="00000000">
        <w:rPr>
          <w:rFonts w:ascii="Helvetica Neue" w:cs="Helvetica Neue" w:eastAsia="Helvetica Neue" w:hAnsi="Helvetica Neue"/>
          <w:b w:val="1"/>
          <w:sz w:val="23"/>
          <w:szCs w:val="23"/>
          <w:rtl w:val="0"/>
        </w:rPr>
        <w:t xml:space="preserve">Projects with Indigenous participants, communities, or organizations: </w:t>
      </w:r>
    </w:p>
    <w:p w:rsidR="00000000" w:rsidDel="00000000" w:rsidP="00000000" w:rsidRDefault="00000000" w:rsidRPr="00000000" w14:paraId="0000002D">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Helvetica Neue" w:cs="Helvetica Neue" w:eastAsia="Helvetica Neue" w:hAnsi="Helvetica Neue"/>
          <w:sz w:val="23"/>
          <w:szCs w:val="23"/>
        </w:rPr>
      </w:pPr>
      <w:r w:rsidDel="00000000" w:rsidR="00000000" w:rsidRPr="00000000">
        <w:rPr>
          <w:rFonts w:ascii="Helvetica Neue" w:cs="Helvetica Neue" w:eastAsia="Helvetica Neue" w:hAnsi="Helvetica Neue"/>
          <w:sz w:val="23"/>
          <w:szCs w:val="23"/>
          <w:rtl w:val="0"/>
        </w:rPr>
        <w:t xml:space="preserve">Mitacs is aware that projects with Indigenous participants, communities or organizations may require different COI mitigation measures to respond to cultural protocols, needs, and interests. </w:t>
      </w:r>
    </w:p>
    <w:p w:rsidR="00000000" w:rsidDel="00000000" w:rsidP="00000000" w:rsidRDefault="00000000" w:rsidRPr="00000000" w14:paraId="0000002E">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306.66666666666663" w:lineRule="auto"/>
        <w:rPr>
          <w:rFonts w:ascii="Helvetica Neue" w:cs="Helvetica Neue" w:eastAsia="Helvetica Neue" w:hAnsi="Helvetica Neue"/>
          <w:color w:val="000000"/>
          <w:sz w:val="30"/>
          <w:szCs w:val="30"/>
        </w:rPr>
      </w:pPr>
      <w:bookmarkStart w:colFirst="0" w:colLast="0" w:name="_9bjt45z8zw2r" w:id="7"/>
      <w:bookmarkEnd w:id="7"/>
      <w:r w:rsidDel="00000000" w:rsidR="00000000" w:rsidRPr="00000000">
        <w:rPr>
          <w:rFonts w:ascii="Helvetica Neue" w:cs="Helvetica Neue" w:eastAsia="Helvetica Neue" w:hAnsi="Helvetica Neue"/>
          <w:color w:val="000000"/>
          <w:sz w:val="30"/>
          <w:szCs w:val="30"/>
          <w:rtl w:val="0"/>
        </w:rPr>
        <w:t xml:space="preserve">6. Who is responsible for reviewing COIs at Mitacs?</w:t>
      </w:r>
    </w:p>
    <w:p w:rsidR="00000000" w:rsidDel="00000000" w:rsidP="00000000" w:rsidRDefault="00000000" w:rsidRPr="00000000" w14:paraId="0000002F">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306.66666666666663" w:lineRule="auto"/>
        <w:rPr>
          <w:rFonts w:ascii="Helvetica Neue" w:cs="Helvetica Neue" w:eastAsia="Helvetica Neue" w:hAnsi="Helvetica Neue"/>
          <w:color w:val="000000"/>
          <w:sz w:val="30"/>
          <w:szCs w:val="30"/>
        </w:rPr>
      </w:pPr>
      <w:bookmarkStart w:colFirst="0" w:colLast="0" w:name="_9bjt45z8zw2r" w:id="7"/>
      <w:bookmarkEnd w:id="7"/>
      <w:r w:rsidDel="00000000" w:rsidR="00000000" w:rsidRPr="00000000">
        <w:rPr>
          <w:rFonts w:ascii="Helvetica Neue" w:cs="Helvetica Neue" w:eastAsia="Helvetica Neue" w:hAnsi="Helvetica Neue"/>
          <w:color w:val="000000"/>
          <w:sz w:val="30"/>
          <w:szCs w:val="30"/>
          <w:rtl w:val="0"/>
        </w:rPr>
        <w:t xml:space="preserve"> </w:t>
      </w:r>
    </w:p>
    <w:p w:rsidR="00000000" w:rsidDel="00000000" w:rsidP="00000000" w:rsidRDefault="00000000" w:rsidRPr="00000000" w14:paraId="00000030">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Helvetica Neue" w:cs="Helvetica Neue" w:eastAsia="Helvetica Neue" w:hAnsi="Helvetica Neue"/>
          <w:sz w:val="23"/>
          <w:szCs w:val="23"/>
        </w:rPr>
      </w:pPr>
      <w:r w:rsidDel="00000000" w:rsidR="00000000" w:rsidRPr="00000000">
        <w:rPr>
          <w:rFonts w:ascii="Helvetica Neue" w:cs="Helvetica Neue" w:eastAsia="Helvetica Neue" w:hAnsi="Helvetica Neue"/>
          <w:sz w:val="23"/>
          <w:szCs w:val="23"/>
          <w:rtl w:val="0"/>
        </w:rPr>
        <w:t xml:space="preserve">Ultimate responsibility for implementation and management of the Mitacs Conflict of Interest- Program Participant Policy rests with the Mitacs Board of Directors. The Mitacs Governance Committee has been charged with establishing controls to both monitor and manage COI. The Governance Committee has delegated the review of certain types of COI to the Staff Committee, headed by a member of the Executive Management Team, and to the Mitacs Research Council (MRC). All COI decisions are presented to the Governance Committee and the Board of Directors at their regular meetings. </w:t>
      </w:r>
    </w:p>
    <w:p w:rsidR="00000000" w:rsidDel="00000000" w:rsidP="00000000" w:rsidRDefault="00000000" w:rsidRPr="00000000" w14:paraId="00000031">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Helvetica Neue" w:cs="Helvetica Neue" w:eastAsia="Helvetica Neue" w:hAnsi="Helvetica Neue"/>
          <w:sz w:val="23"/>
          <w:szCs w:val="23"/>
        </w:rPr>
      </w:pPr>
      <w:r w:rsidDel="00000000" w:rsidR="00000000" w:rsidRPr="00000000">
        <w:rPr>
          <w:rFonts w:ascii="Helvetica Neue" w:cs="Helvetica Neue" w:eastAsia="Helvetica Neue" w:hAnsi="Helvetica Neue"/>
          <w:sz w:val="23"/>
          <w:szCs w:val="23"/>
          <w:rtl w:val="0"/>
        </w:rPr>
        <w:t xml:space="preserve">In certain circumstances, the Mitacs Board of Directors may arrange for an independent third party, appointed by mutual agreement of Mitacs and the Board of Directors, to act as an intermediary to scrutinize scientific reports and budgetary information of research project(s) in which the individual participating in the Mitacs program is involved. The intermediary would provide an opinion on the overall merit of the review, without divulging specifics of a proprietary nature to other members of Mitacs. </w:t>
      </w:r>
    </w:p>
    <w:p w:rsidR="00000000" w:rsidDel="00000000" w:rsidP="00000000" w:rsidRDefault="00000000" w:rsidRPr="00000000" w14:paraId="00000032">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306.66666666666663" w:lineRule="auto"/>
        <w:rPr>
          <w:rFonts w:ascii="Helvetica Neue" w:cs="Helvetica Neue" w:eastAsia="Helvetica Neue" w:hAnsi="Helvetica Neue"/>
          <w:color w:val="000000"/>
          <w:sz w:val="30"/>
          <w:szCs w:val="30"/>
        </w:rPr>
      </w:pPr>
      <w:bookmarkStart w:colFirst="0" w:colLast="0" w:name="_evf0ukusxusq" w:id="8"/>
      <w:bookmarkEnd w:id="8"/>
      <w:r w:rsidDel="00000000" w:rsidR="00000000" w:rsidRPr="00000000">
        <w:rPr>
          <w:rFonts w:ascii="Helvetica Neue" w:cs="Helvetica Neue" w:eastAsia="Helvetica Neue" w:hAnsi="Helvetica Neue"/>
          <w:color w:val="000000"/>
          <w:sz w:val="30"/>
          <w:szCs w:val="30"/>
          <w:rtl w:val="0"/>
        </w:rPr>
        <w:t xml:space="preserve">7. Who does a program participant discuss a potential COI with?</w:t>
      </w:r>
    </w:p>
    <w:p w:rsidR="00000000" w:rsidDel="00000000" w:rsidP="00000000" w:rsidRDefault="00000000" w:rsidRPr="00000000" w14:paraId="00000033">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306.66666666666663" w:lineRule="auto"/>
        <w:rPr>
          <w:rFonts w:ascii="Helvetica Neue" w:cs="Helvetica Neue" w:eastAsia="Helvetica Neue" w:hAnsi="Helvetica Neue"/>
          <w:color w:val="000000"/>
          <w:sz w:val="30"/>
          <w:szCs w:val="30"/>
        </w:rPr>
      </w:pPr>
      <w:bookmarkStart w:colFirst="0" w:colLast="0" w:name="_evf0ukusxusq" w:id="8"/>
      <w:bookmarkEnd w:id="8"/>
      <w:r w:rsidDel="00000000" w:rsidR="00000000" w:rsidRPr="00000000">
        <w:rPr>
          <w:rFonts w:ascii="Helvetica Neue" w:cs="Helvetica Neue" w:eastAsia="Helvetica Neue" w:hAnsi="Helvetica Neue"/>
          <w:color w:val="000000"/>
          <w:sz w:val="30"/>
          <w:szCs w:val="30"/>
          <w:rtl w:val="0"/>
        </w:rPr>
        <w:t xml:space="preserve"> </w:t>
      </w:r>
    </w:p>
    <w:p w:rsidR="00000000" w:rsidDel="00000000" w:rsidP="00000000" w:rsidRDefault="00000000" w:rsidRPr="00000000" w14:paraId="00000034">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Helvetica Neue" w:cs="Helvetica Neue" w:eastAsia="Helvetica Neue" w:hAnsi="Helvetica Neue"/>
          <w:sz w:val="23"/>
          <w:szCs w:val="23"/>
        </w:rPr>
      </w:pPr>
      <w:r w:rsidDel="00000000" w:rsidR="00000000" w:rsidRPr="00000000">
        <w:rPr>
          <w:rFonts w:ascii="Helvetica Neue" w:cs="Helvetica Neue" w:eastAsia="Helvetica Neue" w:hAnsi="Helvetica Neue"/>
          <w:sz w:val="23"/>
          <w:szCs w:val="23"/>
          <w:rtl w:val="0"/>
        </w:rPr>
        <w:t xml:space="preserve">Individuals unsure as to whether a certain situation constitutes a COI should contact a Mitacs Business Development Director/Specialist or a Program Director. An individual may also request in writing to the persons above, within 30 days, a review of Mitacs’s decision on a COI.</w:t>
      </w:r>
    </w:p>
    <w:p w:rsidR="00000000" w:rsidDel="00000000" w:rsidP="00000000" w:rsidRDefault="00000000" w:rsidRPr="00000000" w14:paraId="00000035">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306.66666666666663" w:lineRule="auto"/>
        <w:rPr>
          <w:rFonts w:ascii="Helvetica Neue" w:cs="Helvetica Neue" w:eastAsia="Helvetica Neue" w:hAnsi="Helvetica Neue"/>
          <w:color w:val="000000"/>
          <w:sz w:val="30"/>
          <w:szCs w:val="30"/>
        </w:rPr>
      </w:pPr>
      <w:bookmarkStart w:colFirst="0" w:colLast="0" w:name="_smi2zvq7005q" w:id="9"/>
      <w:bookmarkEnd w:id="9"/>
      <w:r w:rsidDel="00000000" w:rsidR="00000000" w:rsidRPr="00000000">
        <w:rPr>
          <w:rFonts w:ascii="Helvetica Neue" w:cs="Helvetica Neue" w:eastAsia="Helvetica Neue" w:hAnsi="Helvetica Neue"/>
          <w:color w:val="000000"/>
          <w:sz w:val="30"/>
          <w:szCs w:val="30"/>
          <w:rtl w:val="0"/>
        </w:rPr>
        <w:t xml:space="preserve">8. What happens when I am in a conflict of interest and have not made the appropriate disclosures?</w:t>
      </w:r>
    </w:p>
    <w:p w:rsidR="00000000" w:rsidDel="00000000" w:rsidP="00000000" w:rsidRDefault="00000000" w:rsidRPr="00000000" w14:paraId="00000036">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306.66666666666663" w:lineRule="auto"/>
        <w:rPr>
          <w:rFonts w:ascii="Helvetica Neue" w:cs="Helvetica Neue" w:eastAsia="Helvetica Neue" w:hAnsi="Helvetica Neue"/>
          <w:color w:val="000000"/>
          <w:sz w:val="30"/>
          <w:szCs w:val="30"/>
        </w:rPr>
      </w:pPr>
      <w:bookmarkStart w:colFirst="0" w:colLast="0" w:name="_smi2zvq7005q" w:id="9"/>
      <w:bookmarkEnd w:id="9"/>
      <w:r w:rsidDel="00000000" w:rsidR="00000000" w:rsidRPr="00000000">
        <w:rPr>
          <w:rFonts w:ascii="Helvetica Neue" w:cs="Helvetica Neue" w:eastAsia="Helvetica Neue" w:hAnsi="Helvetica Neue"/>
          <w:color w:val="000000"/>
          <w:sz w:val="30"/>
          <w:szCs w:val="30"/>
          <w:rtl w:val="0"/>
        </w:rPr>
        <w:t xml:space="preserve"> </w:t>
      </w:r>
    </w:p>
    <w:p w:rsidR="00000000" w:rsidDel="00000000" w:rsidP="00000000" w:rsidRDefault="00000000" w:rsidRPr="00000000" w14:paraId="00000037">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Helvetica Neue" w:cs="Helvetica Neue" w:eastAsia="Helvetica Neue" w:hAnsi="Helvetica Neue"/>
          <w:sz w:val="23"/>
          <w:szCs w:val="23"/>
        </w:rPr>
      </w:pPr>
      <w:r w:rsidDel="00000000" w:rsidR="00000000" w:rsidRPr="00000000">
        <w:rPr>
          <w:rFonts w:ascii="Helvetica Neue" w:cs="Helvetica Neue" w:eastAsia="Helvetica Neue" w:hAnsi="Helvetica Neue"/>
          <w:sz w:val="23"/>
          <w:szCs w:val="23"/>
          <w:rtl w:val="0"/>
        </w:rPr>
        <w:t xml:space="preserve">If a program participant is discovered to be in COI of interest where disclosure and prior approval have not been sought or granted, the Mitacs Board of Directors will require the individual to:</w:t>
      </w:r>
    </w:p>
    <w:p w:rsidR="00000000" w:rsidDel="00000000" w:rsidP="00000000" w:rsidRDefault="00000000" w:rsidRPr="00000000" w14:paraId="00000038">
      <w:pPr>
        <w:numPr>
          <w:ilvl w:val="0"/>
          <w:numId w:val="2"/>
        </w:numPr>
        <w:pBdr>
          <w:top w:color="auto" w:space="0" w:sz="0" w:val="none"/>
          <w:bottom w:color="auto" w:space="0" w:sz="0" w:val="none"/>
          <w:right w:color="auto" w:space="0" w:sz="0" w:val="none"/>
          <w:between w:color="auto" w:space="0" w:sz="0" w:val="none"/>
        </w:pBdr>
        <w:spacing w:after="0" w:afterAutospacing="0" w:lineRule="auto"/>
        <w:ind w:left="1020" w:hanging="360"/>
      </w:pPr>
      <w:r w:rsidDel="00000000" w:rsidR="00000000" w:rsidRPr="00000000">
        <w:rPr>
          <w:rFonts w:ascii="Helvetica Neue" w:cs="Helvetica Neue" w:eastAsia="Helvetica Neue" w:hAnsi="Helvetica Neue"/>
          <w:sz w:val="23"/>
          <w:szCs w:val="23"/>
          <w:rtl w:val="0"/>
        </w:rPr>
        <w:t xml:space="preserve">Mitigate the COI immediately to Mitacs’ satisfaction; or </w:t>
      </w:r>
    </w:p>
    <w:p w:rsidR="00000000" w:rsidDel="00000000" w:rsidP="00000000" w:rsidRDefault="00000000" w:rsidRPr="00000000" w14:paraId="00000039">
      <w:pPr>
        <w:numPr>
          <w:ilvl w:val="0"/>
          <w:numId w:val="2"/>
        </w:numPr>
        <w:pBdr>
          <w:top w:color="auto" w:space="0" w:sz="0" w:val="none"/>
          <w:bottom w:color="auto" w:space="0" w:sz="0" w:val="none"/>
          <w:right w:color="auto" w:space="0" w:sz="0" w:val="none"/>
          <w:between w:color="auto" w:space="0" w:sz="0" w:val="none"/>
        </w:pBdr>
        <w:spacing w:after="220" w:lineRule="auto"/>
        <w:ind w:left="1020" w:hanging="360"/>
      </w:pPr>
      <w:r w:rsidDel="00000000" w:rsidR="00000000" w:rsidRPr="00000000">
        <w:rPr>
          <w:rFonts w:ascii="Helvetica Neue" w:cs="Helvetica Neue" w:eastAsia="Helvetica Neue" w:hAnsi="Helvetica Neue"/>
          <w:sz w:val="23"/>
          <w:szCs w:val="23"/>
          <w:rtl w:val="0"/>
        </w:rPr>
        <w:t xml:space="preserve">Withdraw from the Mitacs program.</w:t>
      </w:r>
    </w:p>
    <w:p w:rsidR="00000000" w:rsidDel="00000000" w:rsidP="00000000" w:rsidRDefault="00000000" w:rsidRPr="00000000" w14:paraId="0000003A">
      <w:pPr>
        <w:pBdr>
          <w:top w:color="auto" w:space="0" w:sz="0" w:val="none"/>
          <w:left w:color="auto" w:space="0" w:sz="0" w:val="none"/>
          <w:bottom w:color="auto" w:space="0" w:sz="0" w:val="none"/>
          <w:right w:color="auto" w:space="0" w:sz="0" w:val="none"/>
          <w:between w:color="auto" w:space="0" w:sz="0" w:val="none"/>
        </w:pBdr>
        <w:shd w:fill="ffffff" w:val="clear"/>
        <w:spacing w:after="220" w:lineRule="auto"/>
        <w:jc w:val="center"/>
        <w:rPr>
          <w:rFonts w:ascii="Helvetica Neue" w:cs="Helvetica Neue" w:eastAsia="Helvetica Neue" w:hAnsi="Helvetica Neue"/>
          <w:sz w:val="23"/>
          <w:szCs w:val="23"/>
        </w:rPr>
      </w:pPr>
      <w:r w:rsidDel="00000000" w:rsidR="00000000" w:rsidRPr="00000000">
        <w:rPr>
          <w:rFonts w:ascii="Helvetica Neue" w:cs="Helvetica Neue" w:eastAsia="Helvetica Neue" w:hAnsi="Helvetica Neue"/>
          <w:sz w:val="23"/>
          <w:szCs w:val="23"/>
        </w:rPr>
        <w:drawing>
          <wp:inline distB="114300" distT="114300" distL="114300" distR="114300">
            <wp:extent cx="5943600" cy="533400"/>
            <wp:effectExtent b="0" l="0" r="0" t="0"/>
            <wp:docPr descr="Government logos" id="1" name="image1.png"/>
            <a:graphic>
              <a:graphicData uri="http://schemas.openxmlformats.org/drawingml/2006/picture">
                <pic:pic>
                  <pic:nvPicPr>
                    <pic:cNvPr descr="Government logos" id="0" name="image1.png"/>
                    <pic:cNvPicPr preferRelativeResize="0"/>
                  </pic:nvPicPr>
                  <pic:blipFill>
                    <a:blip r:embed="rId6"/>
                    <a:srcRect b="0" l="0" r="0" t="0"/>
                    <a:stretch>
                      <a:fillRect/>
                    </a:stretch>
                  </pic:blipFill>
                  <pic:spPr>
                    <a:xfrm>
                      <a:off x="0" y="0"/>
                      <a:ext cx="5943600" cy="533400"/>
                    </a:xfrm>
                    <a:prstGeom prst="rect"/>
                    <a:ln/>
                  </pic:spPr>
                </pic:pic>
              </a:graphicData>
            </a:graphic>
          </wp:inline>
        </w:drawing>
      </w: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Helvetica Neue" w:cs="Helvetica Neue" w:eastAsia="Helvetica Neue" w:hAnsi="Helvetica Neue"/>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Helvetica Neue" w:cs="Helvetica Neue" w:eastAsia="Helvetica Neue" w:hAnsi="Helvetica Neue"/>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Helvetica Neue" w:cs="Helvetica Neue" w:eastAsia="Helvetica Neue" w:hAnsi="Helvetica Neue"/>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Helvetica Neue" w:cs="Helvetica Neue" w:eastAsia="Helvetica Neue" w:hAnsi="Helvetica Neue"/>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