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4F9E" w14:textId="77777777" w:rsidR="00EC5D57" w:rsidRPr="00EC5D57" w:rsidRDefault="00EC5D57" w:rsidP="00EC5D57">
      <w:pPr>
        <w:pStyle w:val="Heading1"/>
        <w:shd w:val="clear" w:color="auto" w:fill="F2F2F2" w:themeFill="background1" w:themeFillShade="F2"/>
        <w:suppressAutoHyphens/>
        <w:spacing w:before="0" w:after="0" w:line="380" w:lineRule="exact"/>
        <w:rPr>
          <w:rFonts w:ascii="Questa Sans" w:hAnsi="Questa Sans"/>
          <w:b/>
          <w:bCs/>
          <w:color w:val="0A2471"/>
          <w:kern w:val="0"/>
          <w:lang w:val="fr-FR"/>
          <w14:ligatures w14:val="none"/>
        </w:rPr>
      </w:pPr>
      <w:r w:rsidRPr="00EC5D57">
        <w:rPr>
          <w:rFonts w:ascii="Questa Sans" w:hAnsi="Questa Sans"/>
          <w:b/>
          <w:color w:val="0A2471"/>
          <w:lang w:val="fr-FR"/>
        </w:rPr>
        <w:t xml:space="preserve">Infolettre Mitacs pour les administrateurs et administratrices de la recherche </w:t>
      </w:r>
    </w:p>
    <w:p w14:paraId="6BA5DE48" w14:textId="77777777" w:rsidR="00183747" w:rsidRPr="00EC5D57" w:rsidRDefault="00183747" w:rsidP="00EC5D57">
      <w:pPr>
        <w:spacing w:after="0"/>
        <w:rPr>
          <w:rFonts w:ascii="Questa Sans" w:hAnsi="Questa Sans"/>
          <w:lang w:val="fr-FR"/>
        </w:rPr>
      </w:pPr>
    </w:p>
    <w:p w14:paraId="6D07D98D" w14:textId="77777777" w:rsidR="00496FE0" w:rsidRPr="00496FE0" w:rsidRDefault="00496FE0" w:rsidP="00496FE0">
      <w:pPr>
        <w:spacing w:after="0"/>
        <w:jc w:val="both"/>
        <w:rPr>
          <w:rFonts w:ascii="Questa Sans" w:hAnsi="Questa Sans"/>
          <w:sz w:val="22"/>
          <w:szCs w:val="22"/>
          <w:lang w:val="fr-FR"/>
        </w:rPr>
      </w:pPr>
      <w:r w:rsidRPr="00496FE0">
        <w:rPr>
          <w:rFonts w:ascii="Questa Sans" w:hAnsi="Questa Sans"/>
          <w:sz w:val="22"/>
          <w:lang w:val="fr-FR"/>
        </w:rPr>
        <w:t>Bienvenue au premier numéro de l’infolettre Mitacs pour les administrateurs et administratrices de la recherche. Cette nouvelle infolettre trimestrielle s’inscrit dans le cadre de nos efforts continus visant à mieux soutenir et servir nos parties prenantes des établissements postsecondaires. Elle nous permettra de leur transmettre des nouvelles, de signaler des changements apportés aux politiques et de promouvoir les ressources disponibles, en temps opportun, en un seul endroit.</w:t>
      </w:r>
    </w:p>
    <w:p w14:paraId="6131F958" w14:textId="77777777" w:rsidR="00496FE0" w:rsidRPr="00496FE0" w:rsidRDefault="00496FE0" w:rsidP="00496FE0">
      <w:pPr>
        <w:spacing w:after="0"/>
        <w:jc w:val="both"/>
        <w:rPr>
          <w:rFonts w:ascii="Questa Sans" w:hAnsi="Questa Sans"/>
          <w:sz w:val="22"/>
          <w:szCs w:val="22"/>
          <w:lang w:val="fr-FR"/>
        </w:rPr>
      </w:pPr>
    </w:p>
    <w:p w14:paraId="521062EF" w14:textId="77777777" w:rsidR="00496FE0" w:rsidRPr="00496FE0" w:rsidRDefault="00496FE0" w:rsidP="00496FE0">
      <w:pPr>
        <w:spacing w:after="0"/>
        <w:jc w:val="both"/>
        <w:rPr>
          <w:rFonts w:ascii="Questa Sans" w:hAnsi="Questa Sans"/>
          <w:sz w:val="22"/>
          <w:szCs w:val="22"/>
          <w:lang w:val="fr-FR"/>
        </w:rPr>
      </w:pPr>
      <w:r w:rsidRPr="00496FE0">
        <w:rPr>
          <w:rFonts w:ascii="Questa Sans" w:hAnsi="Questa Sans"/>
          <w:sz w:val="22"/>
          <w:lang w:val="fr-FR"/>
        </w:rPr>
        <w:t>Dans ce numéro, vous trouverez des points saillants de l’ensemble de Mitacs, notamment des mises à jour des programmes, un nouveau partenariat international appuyant la recherche quantique, des appels de financement pour certains secteurs à venir, des changements importants concernant les procédures administratives et les politiques et les dernières nouvelles concernant Mitacs Plus. Nous présentons également un ensemble de sections régulières qui apparaîtront dans l’infolettre chaque trimestre, soit : Programmes offerts, Changements importants, Mitacs Plus et Coin de la conformité.</w:t>
      </w:r>
    </w:p>
    <w:p w14:paraId="2396B756" w14:textId="77777777" w:rsidR="000B6395" w:rsidRPr="00496FE0" w:rsidRDefault="000B6395" w:rsidP="000B6395">
      <w:pPr>
        <w:spacing w:after="0"/>
        <w:jc w:val="both"/>
        <w:rPr>
          <w:rFonts w:ascii="Questa Sans" w:hAnsi="Questa Sans"/>
          <w:lang w:val="fr-FR"/>
        </w:rPr>
      </w:pPr>
    </w:p>
    <w:p w14:paraId="490C3E36" w14:textId="77777777" w:rsidR="00164B0F" w:rsidRPr="00496FE0" w:rsidRDefault="00164B0F" w:rsidP="000B6395">
      <w:pPr>
        <w:spacing w:after="0"/>
        <w:jc w:val="both"/>
        <w:rPr>
          <w:rFonts w:ascii="Questa Sans" w:hAnsi="Questa Sans"/>
          <w:lang w:val="fr-FR"/>
        </w:rPr>
      </w:pPr>
    </w:p>
    <w:p w14:paraId="46B1781E" w14:textId="77777777" w:rsidR="00B10298" w:rsidRPr="00674522" w:rsidRDefault="00B10298" w:rsidP="00B10298">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fr-FR"/>
          <w14:ligatures w14:val="none"/>
        </w:rPr>
      </w:pPr>
      <w:r w:rsidRPr="00674522">
        <w:rPr>
          <w:rFonts w:ascii="Questa Sans" w:hAnsi="Questa Sans"/>
          <w:b/>
          <w:color w:val="0A2471"/>
          <w:sz w:val="36"/>
          <w:lang w:val="fr-FR"/>
        </w:rPr>
        <w:t>Programmes offerts</w:t>
      </w:r>
    </w:p>
    <w:p w14:paraId="04B24A93" w14:textId="77777777" w:rsidR="001D75AD" w:rsidRPr="00C64A94" w:rsidRDefault="001D75AD" w:rsidP="001D75AD">
      <w:pPr>
        <w:spacing w:after="0"/>
        <w:rPr>
          <w:rFonts w:ascii="Questa Sans" w:hAnsi="Questa Sans"/>
          <w:lang w:val="fr-FR"/>
        </w:rPr>
      </w:pPr>
    </w:p>
    <w:p w14:paraId="4E2CDE0C" w14:textId="7A91E952" w:rsidR="001E087A" w:rsidRPr="00333169" w:rsidRDefault="00482D77" w:rsidP="006438C8">
      <w:pPr>
        <w:jc w:val="both"/>
        <w:rPr>
          <w:rFonts w:ascii="Questa Sans" w:hAnsi="Questa Sans"/>
          <w:sz w:val="22"/>
          <w:szCs w:val="22"/>
          <w:lang w:val="fr-FR"/>
        </w:rPr>
      </w:pPr>
      <w:r w:rsidRPr="00482D77">
        <w:rPr>
          <w:rFonts w:ascii="Questa Sans" w:hAnsi="Questa Sans"/>
          <w:sz w:val="22"/>
          <w:szCs w:val="22"/>
          <w:lang w:val="fr-FR"/>
        </w:rPr>
        <w:t>Mitacs met les entreprises en contact avec les meilleurs chercheurs et chercheuses grâce à des subventions et des stages collaboratifs et fournit du financement et un accès à des réseaux de ressources pour les aider à réussir.</w:t>
      </w:r>
      <w:r>
        <w:rPr>
          <w:rFonts w:ascii="Questa Sans" w:hAnsi="Questa Sans"/>
          <w:sz w:val="22"/>
          <w:szCs w:val="22"/>
          <w:lang w:val="fr-FR"/>
        </w:rPr>
        <w:t xml:space="preserve"> </w:t>
      </w:r>
      <w:r w:rsidR="00EE0F08" w:rsidRPr="00333169">
        <w:rPr>
          <w:rFonts w:ascii="Questa Sans" w:hAnsi="Questa Sans"/>
          <w:sz w:val="22"/>
          <w:szCs w:val="22"/>
          <w:lang w:val="fr-FR"/>
        </w:rPr>
        <w:t>Explore</w:t>
      </w:r>
      <w:r w:rsidR="00333169" w:rsidRPr="00333169">
        <w:rPr>
          <w:rFonts w:ascii="Questa Sans" w:hAnsi="Questa Sans"/>
          <w:sz w:val="22"/>
          <w:szCs w:val="22"/>
          <w:lang w:val="fr-FR"/>
        </w:rPr>
        <w:t xml:space="preserve">z nos </w:t>
      </w:r>
      <w:proofErr w:type="gramStart"/>
      <w:r w:rsidR="00333169" w:rsidRPr="00333169">
        <w:rPr>
          <w:rFonts w:ascii="Questa Sans" w:hAnsi="Questa Sans"/>
          <w:sz w:val="22"/>
          <w:szCs w:val="22"/>
          <w:lang w:val="fr-FR"/>
        </w:rPr>
        <w:t>pr</w:t>
      </w:r>
      <w:r w:rsidR="00333169">
        <w:rPr>
          <w:rFonts w:ascii="Questa Sans" w:hAnsi="Questa Sans"/>
          <w:sz w:val="22"/>
          <w:szCs w:val="22"/>
          <w:lang w:val="fr-FR"/>
        </w:rPr>
        <w:t>ogrammes</w:t>
      </w:r>
      <w:r w:rsidR="00EE0F08" w:rsidRPr="00333169">
        <w:rPr>
          <w:rFonts w:ascii="Questa Sans" w:hAnsi="Questa Sans"/>
          <w:sz w:val="22"/>
          <w:szCs w:val="22"/>
          <w:lang w:val="fr-FR"/>
        </w:rPr>
        <w:t>:</w:t>
      </w:r>
      <w:proofErr w:type="gramEnd"/>
      <w:r w:rsidR="00EE0F08" w:rsidRPr="00333169">
        <w:rPr>
          <w:rFonts w:ascii="Questa Sans" w:hAnsi="Questa Sans"/>
          <w:sz w:val="22"/>
          <w:szCs w:val="22"/>
          <w:lang w:val="fr-FR"/>
        </w:rPr>
        <w:t xml:space="preserve"> </w:t>
      </w:r>
      <w:r w:rsidR="00333169">
        <w:fldChar w:fldCharType="begin"/>
      </w:r>
      <w:r w:rsidR="00333169" w:rsidRPr="002E0E44">
        <w:rPr>
          <w:lang w:val="fr-CA"/>
        </w:rPr>
        <w:instrText>HYPERLINK "https://www.mitacs.ca/fr-ca/ressources-pour-les-programmes/programmes/"</w:instrText>
      </w:r>
      <w:r w:rsidR="00333169">
        <w:fldChar w:fldCharType="separate"/>
      </w:r>
      <w:r w:rsidR="00333169" w:rsidRPr="00333169">
        <w:rPr>
          <w:rStyle w:val="Hyperlink"/>
          <w:lang w:val="fr-FR"/>
        </w:rPr>
        <w:t>https://www.mitacs.ca/fr-ca/ressources-pour-les-programmes/programmes/</w:t>
      </w:r>
      <w:r w:rsidR="00333169">
        <w:fldChar w:fldCharType="end"/>
      </w:r>
    </w:p>
    <w:p w14:paraId="453B7014" w14:textId="77777777" w:rsidR="00374D67" w:rsidRPr="00374D67" w:rsidRDefault="00374D67" w:rsidP="00374D67">
      <w:pPr>
        <w:spacing w:after="0"/>
        <w:jc w:val="both"/>
        <w:rPr>
          <w:rFonts w:ascii="Questa Sans" w:hAnsi="Questa Sans"/>
          <w:sz w:val="22"/>
          <w:szCs w:val="22"/>
          <w:lang w:val="fr-FR"/>
        </w:rPr>
      </w:pPr>
      <w:proofErr w:type="spellStart"/>
      <w:r w:rsidRPr="00374D67">
        <w:rPr>
          <w:rFonts w:ascii="Questa Sans" w:hAnsi="Questa Sans"/>
          <w:sz w:val="22"/>
          <w:lang w:val="fr-FR"/>
        </w:rPr>
        <w:t>Prêt·e</w:t>
      </w:r>
      <w:proofErr w:type="spellEnd"/>
      <w:r w:rsidRPr="00374D67">
        <w:rPr>
          <w:rFonts w:ascii="Questa Sans" w:hAnsi="Questa Sans"/>
          <w:sz w:val="22"/>
          <w:lang w:val="fr-FR"/>
        </w:rPr>
        <w:t xml:space="preserve"> à présenter une </w:t>
      </w:r>
      <w:proofErr w:type="gramStart"/>
      <w:r w:rsidRPr="00374D67">
        <w:rPr>
          <w:rFonts w:ascii="Questa Sans" w:hAnsi="Questa Sans"/>
          <w:sz w:val="22"/>
          <w:lang w:val="fr-FR"/>
        </w:rPr>
        <w:t>demande?</w:t>
      </w:r>
      <w:proofErr w:type="gramEnd"/>
      <w:r w:rsidRPr="00374D67">
        <w:rPr>
          <w:rFonts w:ascii="Questa Sans" w:hAnsi="Questa Sans"/>
          <w:sz w:val="22"/>
          <w:lang w:val="fr-FR"/>
        </w:rPr>
        <w:t xml:space="preserve"> Communiquez avec </w:t>
      </w:r>
      <w:hyperlink r:id="rId7" w:history="1">
        <w:r w:rsidRPr="00374D67">
          <w:rPr>
            <w:rStyle w:val="Hyperlink"/>
            <w:rFonts w:ascii="Questa Sans" w:hAnsi="Questa Sans"/>
            <w:sz w:val="22"/>
            <w:lang w:val="fr-FR"/>
          </w:rPr>
          <w:t>votre conseiller ou votre conseillère Mitacs</w:t>
        </w:r>
      </w:hyperlink>
      <w:r w:rsidRPr="00374D67">
        <w:rPr>
          <w:rFonts w:ascii="Questa Sans" w:hAnsi="Questa Sans"/>
          <w:sz w:val="22"/>
          <w:lang w:val="fr-FR"/>
        </w:rPr>
        <w:t>.</w:t>
      </w:r>
    </w:p>
    <w:p w14:paraId="1E10A0B4" w14:textId="77777777" w:rsidR="00B03B80" w:rsidRPr="00374D67" w:rsidRDefault="00B03B80" w:rsidP="006438C8">
      <w:pPr>
        <w:spacing w:after="0"/>
        <w:jc w:val="both"/>
        <w:rPr>
          <w:rFonts w:ascii="Questa Sans" w:hAnsi="Questa Sans"/>
          <w:sz w:val="22"/>
          <w:szCs w:val="22"/>
          <w:lang w:val="fr-FR"/>
        </w:rPr>
      </w:pPr>
    </w:p>
    <w:p w14:paraId="0FE1ED00" w14:textId="792E895D" w:rsidR="00964A29" w:rsidRPr="00964A29" w:rsidRDefault="00964A29" w:rsidP="00964A29">
      <w:pPr>
        <w:pStyle w:val="Heading1"/>
        <w:suppressAutoHyphens/>
        <w:spacing w:before="0" w:after="0" w:line="380" w:lineRule="exact"/>
        <w:jc w:val="both"/>
        <w:rPr>
          <w:rFonts w:ascii="Questa Sans" w:hAnsi="Questa Sans"/>
          <w:b/>
          <w:bCs/>
          <w:color w:val="0A2471"/>
          <w:kern w:val="0"/>
          <w:sz w:val="24"/>
          <w:szCs w:val="24"/>
          <w:lang w:val="fr-FR"/>
          <w14:ligatures w14:val="none"/>
        </w:rPr>
      </w:pPr>
      <w:r w:rsidRPr="00964A29">
        <w:rPr>
          <w:rFonts w:ascii="Questa Sans" w:hAnsi="Questa Sans"/>
          <w:b/>
          <w:color w:val="0A2471"/>
          <w:sz w:val="24"/>
          <w:lang w:val="fr-FR"/>
        </w:rPr>
        <w:t>Restez à l’affût pour les appels à venir pour certains secteurs</w:t>
      </w:r>
    </w:p>
    <w:p w14:paraId="5E222CCC" w14:textId="694DE56D" w:rsidR="00B03B80" w:rsidRPr="00964A29" w:rsidRDefault="00B03B80" w:rsidP="00964A29">
      <w:pPr>
        <w:pStyle w:val="Heading1"/>
        <w:suppressAutoHyphens/>
        <w:spacing w:before="0" w:after="0" w:line="380" w:lineRule="exact"/>
        <w:jc w:val="both"/>
        <w:rPr>
          <w:rFonts w:ascii="Questa Sans" w:hAnsi="Questa Sans"/>
          <w:highlight w:val="yellow"/>
          <w:lang w:val="fr-FR"/>
        </w:rPr>
      </w:pPr>
    </w:p>
    <w:p w14:paraId="41D08F4A" w14:textId="77777777" w:rsidR="00410BF2" w:rsidRPr="00410BF2" w:rsidRDefault="00410BF2" w:rsidP="00410BF2">
      <w:pPr>
        <w:spacing w:after="0"/>
        <w:jc w:val="both"/>
        <w:rPr>
          <w:rFonts w:ascii="Questa Sans" w:hAnsi="Questa Sans"/>
          <w:sz w:val="22"/>
          <w:szCs w:val="22"/>
          <w:lang w:val="fr-FR"/>
        </w:rPr>
      </w:pPr>
      <w:r w:rsidRPr="00410BF2">
        <w:rPr>
          <w:rFonts w:ascii="Questa Sans" w:hAnsi="Questa Sans"/>
          <w:sz w:val="22"/>
          <w:lang w:val="fr-FR"/>
        </w:rPr>
        <w:t>Dans le cadre de ses programmes, Mitacs inclura en 2026-2027 des appels ciblés pour les chercheurs et chercheuses au postdoctorat, ainsi que des appels axés sur certains secteurs dans des domaines comme la science quantique, l’adoption de l’IA, ainsi que la défense et la sécurité.</w:t>
      </w:r>
    </w:p>
    <w:p w14:paraId="7915D2DC" w14:textId="77777777" w:rsidR="00410BF2" w:rsidRPr="00410BF2" w:rsidRDefault="00410BF2" w:rsidP="00410BF2">
      <w:pPr>
        <w:spacing w:after="0"/>
        <w:jc w:val="both"/>
        <w:rPr>
          <w:rFonts w:ascii="Questa Sans" w:hAnsi="Questa Sans"/>
          <w:sz w:val="22"/>
          <w:szCs w:val="22"/>
          <w:lang w:val="fr-FR"/>
        </w:rPr>
      </w:pPr>
    </w:p>
    <w:p w14:paraId="55473EFA" w14:textId="77777777" w:rsidR="00410BF2" w:rsidRPr="003F02C4" w:rsidRDefault="00410BF2" w:rsidP="00410BF2">
      <w:pPr>
        <w:spacing w:after="0"/>
        <w:jc w:val="both"/>
        <w:rPr>
          <w:rFonts w:ascii="Questa Sans" w:hAnsi="Questa Sans"/>
          <w:sz w:val="22"/>
          <w:szCs w:val="22"/>
          <w:lang w:val="fr-FR"/>
        </w:rPr>
      </w:pPr>
      <w:r w:rsidRPr="003F02C4">
        <w:rPr>
          <w:rFonts w:ascii="Questa Sans" w:hAnsi="Questa Sans"/>
          <w:sz w:val="22"/>
          <w:lang w:val="fr-FR"/>
        </w:rPr>
        <w:t xml:space="preserve">Afin d’appuyer la Stratégie industrielle de défense (SID) du Canada, Mitacs mobilisera les talents pour stimuler la recherche dans des domaines stratégiques ciblés dans la SID à titre de capacités souveraines, notamment l’aérospatiale, les systèmes numériques, le quantique, l’espace et les capteurs. Des équipes de recherche appliquée (chercheurs et chercheuses du milieu postsecondaire, </w:t>
      </w:r>
      <w:r w:rsidRPr="003F02C4">
        <w:rPr>
          <w:rFonts w:ascii="Questa Sans" w:hAnsi="Questa Sans"/>
          <w:sz w:val="22"/>
          <w:lang w:val="fr-FR"/>
        </w:rPr>
        <w:lastRenderedPageBreak/>
        <w:t xml:space="preserve">étudiantes et étudiants des cycles supérieurs, chercheurs et chercheuses au postdoctorat et organisations partenaires) qui mènent </w:t>
      </w:r>
      <w:proofErr w:type="spellStart"/>
      <w:r w:rsidRPr="003F02C4">
        <w:rPr>
          <w:rFonts w:ascii="Questa Sans" w:hAnsi="Questa Sans"/>
          <w:sz w:val="22"/>
          <w:lang w:val="fr-FR"/>
        </w:rPr>
        <w:t>des</w:t>
      </w:r>
      <w:proofErr w:type="spellEnd"/>
      <w:r w:rsidRPr="003F02C4">
        <w:rPr>
          <w:rFonts w:ascii="Questa Sans" w:hAnsi="Questa Sans"/>
          <w:sz w:val="22"/>
          <w:lang w:val="fr-FR"/>
        </w:rPr>
        <w:t xml:space="preserve"> les projets dans ces domaines auront l’occasion de présenter une demande de financement accru dans le cadre du programme phare de Mitacs, Accélération. L’appel de demandes sera ouvert du 1</w:t>
      </w:r>
      <w:r w:rsidRPr="003F02C4">
        <w:rPr>
          <w:rFonts w:ascii="Questa Sans" w:hAnsi="Questa Sans"/>
          <w:sz w:val="22"/>
          <w:vertAlign w:val="superscript"/>
          <w:lang w:val="fr-FR"/>
        </w:rPr>
        <w:t>er</w:t>
      </w:r>
      <w:r w:rsidRPr="003F02C4">
        <w:rPr>
          <w:rFonts w:ascii="Questa Sans" w:hAnsi="Questa Sans"/>
          <w:sz w:val="22"/>
          <w:lang w:val="fr-FR"/>
        </w:rPr>
        <w:t xml:space="preserve"> juin au 17 août 2026. </w:t>
      </w:r>
      <w:r w:rsidRPr="003F02C4">
        <w:rPr>
          <w:rFonts w:ascii="Questa Sans" w:hAnsi="Questa Sans"/>
          <w:b/>
          <w:sz w:val="22"/>
          <w:lang w:val="fr-FR"/>
        </w:rPr>
        <w:t>De plus amples informations seront bientôt disponibles.</w:t>
      </w:r>
    </w:p>
    <w:p w14:paraId="52C48DA6" w14:textId="77777777" w:rsidR="00AF4EB5" w:rsidRPr="003F02C4" w:rsidRDefault="00AF4EB5" w:rsidP="006438C8">
      <w:pPr>
        <w:spacing w:after="0"/>
        <w:jc w:val="both"/>
        <w:rPr>
          <w:rFonts w:ascii="Questa Sans" w:hAnsi="Questa Sans"/>
          <w:b/>
          <w:bCs/>
          <w:color w:val="0A2471"/>
          <w:kern w:val="0"/>
          <w:lang w:val="fr-FR"/>
          <w14:ligatures w14:val="none"/>
        </w:rPr>
      </w:pPr>
    </w:p>
    <w:p w14:paraId="05C29A57" w14:textId="77777777" w:rsidR="003F02C4" w:rsidRPr="003F02C4" w:rsidRDefault="003F02C4" w:rsidP="003F02C4">
      <w:pPr>
        <w:pStyle w:val="Heading1"/>
        <w:suppressAutoHyphens/>
        <w:spacing w:before="0" w:after="0" w:line="380" w:lineRule="exact"/>
        <w:jc w:val="both"/>
        <w:rPr>
          <w:rFonts w:ascii="Questa Sans" w:hAnsi="Questa Sans"/>
          <w:b/>
          <w:bCs/>
          <w:color w:val="0A2471"/>
          <w:kern w:val="0"/>
          <w:sz w:val="24"/>
          <w:szCs w:val="24"/>
          <w:lang w:val="fr-FR"/>
          <w14:ligatures w14:val="none"/>
        </w:rPr>
      </w:pPr>
      <w:r w:rsidRPr="003F02C4">
        <w:rPr>
          <w:rFonts w:ascii="Questa Sans" w:hAnsi="Questa Sans"/>
          <w:b/>
          <w:color w:val="0A2471"/>
          <w:sz w:val="24"/>
          <w:lang w:val="fr-FR"/>
        </w:rPr>
        <w:t>Subvention d’excellence internationale</w:t>
      </w:r>
    </w:p>
    <w:p w14:paraId="15A7AB1D" w14:textId="77777777" w:rsidR="003F02C4" w:rsidRPr="003F02C4" w:rsidRDefault="003F02C4" w:rsidP="003F02C4">
      <w:pPr>
        <w:spacing w:after="0"/>
        <w:jc w:val="both"/>
        <w:rPr>
          <w:lang w:val="fr-FR"/>
        </w:rPr>
      </w:pPr>
    </w:p>
    <w:p w14:paraId="5C5C3127" w14:textId="77777777" w:rsidR="003F02C4" w:rsidRPr="003F02C4" w:rsidRDefault="003F02C4" w:rsidP="003F02C4">
      <w:pPr>
        <w:spacing w:after="0"/>
        <w:jc w:val="both"/>
        <w:rPr>
          <w:rFonts w:ascii="Questa Sans" w:hAnsi="Questa Sans"/>
          <w:sz w:val="22"/>
          <w:szCs w:val="22"/>
          <w:lang w:val="fr-FR"/>
        </w:rPr>
      </w:pPr>
      <w:r w:rsidRPr="003F02C4">
        <w:rPr>
          <w:rFonts w:ascii="Questa Sans" w:hAnsi="Questa Sans"/>
          <w:sz w:val="22"/>
          <w:lang w:val="fr-FR"/>
        </w:rPr>
        <w:t xml:space="preserve">Mitacs a reporté la date limite pour présenter une demande dans le cadre de la Subvention d’excellence internationale. Les personnes demandeuses ont donc une nouvelle chance de soumettre des propositions jusqu’au 11 septembre 2026. Pour obtenir de plus amples renseignements, veuillez consulter notre site Web : </w:t>
      </w:r>
      <w:hyperlink r:id="rId8" w:history="1">
        <w:r w:rsidRPr="003F02C4">
          <w:rPr>
            <w:rStyle w:val="Hyperlink"/>
            <w:rFonts w:ascii="Questa Sans" w:hAnsi="Questa Sans"/>
            <w:sz w:val="22"/>
            <w:lang w:val="fr-FR"/>
          </w:rPr>
          <w:t>Subvention d’excellence internationale Accélération de Mitacs — Mitacs</w:t>
        </w:r>
      </w:hyperlink>
    </w:p>
    <w:p w14:paraId="5C669642" w14:textId="77777777" w:rsidR="003F02C4" w:rsidRDefault="003F02C4" w:rsidP="003F02C4">
      <w:pPr>
        <w:pStyle w:val="Heading1"/>
        <w:suppressAutoHyphens/>
        <w:spacing w:before="0" w:after="0" w:line="380" w:lineRule="exact"/>
        <w:jc w:val="both"/>
        <w:rPr>
          <w:rFonts w:ascii="Questa Sans" w:hAnsi="Questa Sans"/>
          <w:b/>
          <w:color w:val="0A2471"/>
          <w:sz w:val="24"/>
          <w:lang w:val="fr-FR"/>
        </w:rPr>
      </w:pPr>
    </w:p>
    <w:p w14:paraId="57D69928" w14:textId="0B0BBD37" w:rsidR="003F02C4" w:rsidRPr="003F02C4" w:rsidRDefault="003F02C4" w:rsidP="003F02C4">
      <w:pPr>
        <w:pStyle w:val="Heading1"/>
        <w:suppressAutoHyphens/>
        <w:spacing w:before="0" w:after="0" w:line="380" w:lineRule="exact"/>
        <w:jc w:val="both"/>
        <w:rPr>
          <w:rFonts w:ascii="Questa Sans" w:hAnsi="Questa Sans"/>
          <w:b/>
          <w:bCs/>
          <w:color w:val="0A2471"/>
          <w:kern w:val="0"/>
          <w:sz w:val="24"/>
          <w:szCs w:val="24"/>
          <w:lang w:val="fr-FR"/>
          <w14:ligatures w14:val="none"/>
        </w:rPr>
      </w:pPr>
      <w:r w:rsidRPr="003F02C4">
        <w:rPr>
          <w:rFonts w:ascii="Questa Sans" w:hAnsi="Questa Sans"/>
          <w:b/>
          <w:color w:val="0A2471"/>
          <w:sz w:val="24"/>
          <w:lang w:val="fr-FR"/>
        </w:rPr>
        <w:t xml:space="preserve">Nouveau partenariat entre Mitacs et le Quantum Information </w:t>
      </w:r>
      <w:proofErr w:type="spellStart"/>
      <w:r w:rsidRPr="003F02C4">
        <w:rPr>
          <w:rFonts w:ascii="Questa Sans" w:hAnsi="Questa Sans"/>
          <w:b/>
          <w:color w:val="0A2471"/>
          <w:sz w:val="24"/>
          <w:lang w:val="fr-FR"/>
        </w:rPr>
        <w:t>Research</w:t>
      </w:r>
      <w:proofErr w:type="spellEnd"/>
      <w:r w:rsidRPr="003F02C4">
        <w:rPr>
          <w:rFonts w:ascii="Questa Sans" w:hAnsi="Questa Sans"/>
          <w:b/>
          <w:color w:val="0A2471"/>
          <w:sz w:val="24"/>
          <w:lang w:val="fr-FR"/>
        </w:rPr>
        <w:t xml:space="preserve"> Support Center (</w:t>
      </w:r>
      <w:proofErr w:type="spellStart"/>
      <w:r w:rsidRPr="003F02C4">
        <w:rPr>
          <w:rFonts w:ascii="Questa Sans" w:hAnsi="Questa Sans"/>
          <w:b/>
          <w:color w:val="0A2471"/>
          <w:sz w:val="24"/>
          <w:lang w:val="fr-FR"/>
        </w:rPr>
        <w:t>Qcenter</w:t>
      </w:r>
      <w:proofErr w:type="spellEnd"/>
      <w:r w:rsidRPr="003F02C4">
        <w:rPr>
          <w:rFonts w:ascii="Questa Sans" w:hAnsi="Questa Sans"/>
          <w:b/>
          <w:color w:val="0A2471"/>
          <w:sz w:val="24"/>
          <w:lang w:val="fr-FR"/>
        </w:rPr>
        <w:t xml:space="preserve">) de la Corée </w:t>
      </w:r>
    </w:p>
    <w:p w14:paraId="09FF3858" w14:textId="77777777" w:rsidR="001C1064" w:rsidRPr="003F02C4" w:rsidRDefault="001C1064" w:rsidP="006438C8">
      <w:pPr>
        <w:spacing w:after="0"/>
        <w:jc w:val="both"/>
        <w:rPr>
          <w:rFonts w:ascii="Questa Sans" w:hAnsi="Questa Sans"/>
          <w:sz w:val="22"/>
          <w:szCs w:val="22"/>
          <w:highlight w:val="yellow"/>
          <w:lang w:val="fr-FR"/>
        </w:rPr>
      </w:pPr>
    </w:p>
    <w:p w14:paraId="113B4AA1" w14:textId="684C6B54" w:rsidR="006438C8" w:rsidRPr="005E5D67" w:rsidRDefault="00B874AF" w:rsidP="00B874AF">
      <w:pPr>
        <w:rPr>
          <w:rFonts w:ascii="Questa Sans" w:hAnsi="Questa Sans"/>
          <w:sz w:val="22"/>
          <w:szCs w:val="22"/>
          <w:lang w:val="fr-FR"/>
        </w:rPr>
      </w:pPr>
      <w:r w:rsidRPr="00B874AF">
        <w:rPr>
          <w:rFonts w:ascii="Questa Sans" w:hAnsi="Questa Sans"/>
          <w:sz w:val="22"/>
          <w:lang w:val="fr-FR"/>
        </w:rPr>
        <w:t>Ce nouveau partenariat renforcera la collaboration entre le Canada et la Corée en recherche quantique et en perfectionnement des talents.</w:t>
      </w:r>
      <w:r>
        <w:rPr>
          <w:rFonts w:ascii="Questa Sans" w:hAnsi="Questa Sans"/>
          <w:sz w:val="22"/>
          <w:szCs w:val="22"/>
          <w:lang w:val="fr-FR"/>
        </w:rPr>
        <w:t xml:space="preserve"> </w:t>
      </w:r>
      <w:r w:rsidR="005E5D67" w:rsidRPr="005E5D67">
        <w:rPr>
          <w:rFonts w:ascii="Questa Sans" w:hAnsi="Questa Sans"/>
          <w:sz w:val="22"/>
          <w:szCs w:val="22"/>
          <w:lang w:val="fr-FR"/>
        </w:rPr>
        <w:t xml:space="preserve">Ce modèle de financement offre de solides assises aux universités et aux instituts de recherche du Canada pour accueillir des stagiaires de la Corée du Sud, tout en positionnant le Canada comme la destination de choix des meilleurs talents. </w:t>
      </w:r>
      <w:proofErr w:type="spellStart"/>
      <w:r w:rsidR="005E5D67" w:rsidRPr="005E5D67">
        <w:rPr>
          <w:rFonts w:ascii="Questa Sans" w:hAnsi="Questa Sans"/>
          <w:sz w:val="22"/>
          <w:szCs w:val="22"/>
          <w:lang w:val="fr-FR"/>
        </w:rPr>
        <w:t>QCenter</w:t>
      </w:r>
      <w:proofErr w:type="spellEnd"/>
      <w:r w:rsidR="005E5D67" w:rsidRPr="005E5D67">
        <w:rPr>
          <w:rFonts w:ascii="Questa Sans" w:hAnsi="Questa Sans"/>
          <w:sz w:val="22"/>
          <w:szCs w:val="22"/>
          <w:lang w:val="fr-FR"/>
        </w:rPr>
        <w:t xml:space="preserve"> fera également la promotion du programme </w:t>
      </w:r>
      <w:hyperlink r:id="rId9" w:tgtFrame="_blank" w:tooltip="Original URL: https://d4k5ww04.eu1.hubspotlinks.com/Ctc/OT+113/d4K5Ww04/VX4chG2b5VxKW9jg1qQ1g13VdVNrtzX5Nndr9N7jDJwC3qn9qW95jsWP6lZ3nNW15jpJf8KPz8FW1gl8ZH5N-q_RW7mzFrK4PqRWlW6WB9Bt26xzxFVR3N812SNRnjV_kfNp83G3YgW7VW8J_98L6FfW7MK7Lc2Q0bm3N2kvtDDFjTF7MFgcGgy33qqW" w:history="1">
        <w:r w:rsidR="005E5D67" w:rsidRPr="005E5D67">
          <w:rPr>
            <w:rStyle w:val="Hyperlink"/>
            <w:rFonts w:ascii="Questa Sans" w:hAnsi="Questa Sans"/>
            <w:b/>
            <w:bCs/>
            <w:sz w:val="22"/>
            <w:szCs w:val="22"/>
            <w:lang w:val="fr-FR"/>
          </w:rPr>
          <w:t xml:space="preserve">Bourse de recherche </w:t>
        </w:r>
        <w:proofErr w:type="spellStart"/>
        <w:r w:rsidR="005E5D67" w:rsidRPr="005E5D67">
          <w:rPr>
            <w:rStyle w:val="Hyperlink"/>
            <w:rFonts w:ascii="Questa Sans" w:hAnsi="Questa Sans"/>
            <w:b/>
            <w:bCs/>
            <w:sz w:val="22"/>
            <w:szCs w:val="22"/>
            <w:lang w:val="fr-FR"/>
          </w:rPr>
          <w:t>Globalink</w:t>
        </w:r>
        <w:proofErr w:type="spellEnd"/>
        <w:r w:rsidR="005E5D67" w:rsidRPr="005E5D67">
          <w:rPr>
            <w:rStyle w:val="Hyperlink"/>
            <w:rFonts w:ascii="Questa Sans" w:hAnsi="Questa Sans"/>
            <w:b/>
            <w:bCs/>
            <w:sz w:val="22"/>
            <w:szCs w:val="22"/>
            <w:lang w:val="fr-FR"/>
          </w:rPr>
          <w:t xml:space="preserve"> (BRG)</w:t>
        </w:r>
      </w:hyperlink>
      <w:r w:rsidR="005E5D67" w:rsidRPr="005E5D67">
        <w:rPr>
          <w:rFonts w:ascii="Questa Sans" w:hAnsi="Questa Sans"/>
          <w:sz w:val="22"/>
          <w:szCs w:val="22"/>
          <w:lang w:val="fr-FR"/>
        </w:rPr>
        <w:t> de Mitacs auprès de l’écosystème coréen de la recherche postsecondaire, afin d’encourager les collaborations bilatérales avec le Canada.</w:t>
      </w:r>
    </w:p>
    <w:p w14:paraId="2AAABC7C" w14:textId="77777777" w:rsidR="006438C8" w:rsidRPr="005E5D67" w:rsidRDefault="006438C8" w:rsidP="006438C8">
      <w:pPr>
        <w:spacing w:after="0"/>
        <w:jc w:val="both"/>
        <w:rPr>
          <w:rFonts w:ascii="Questa Sans" w:hAnsi="Questa Sans"/>
          <w:sz w:val="22"/>
          <w:szCs w:val="22"/>
          <w:lang w:val="fr-FR"/>
        </w:rPr>
      </w:pPr>
      <w:r w:rsidRPr="005E5D67">
        <w:rPr>
          <w:rFonts w:ascii="Questa Sans" w:hAnsi="Questa Sans"/>
          <w:sz w:val="22"/>
          <w:szCs w:val="22"/>
          <w:lang w:val="fr-FR"/>
        </w:rPr>
        <w:t> </w:t>
      </w:r>
    </w:p>
    <w:p w14:paraId="44D2ABF5" w14:textId="77777777" w:rsidR="00242A7D" w:rsidRPr="00242A7D" w:rsidRDefault="00242A7D" w:rsidP="00242A7D">
      <w:pPr>
        <w:spacing w:after="0"/>
        <w:jc w:val="both"/>
        <w:rPr>
          <w:rFonts w:ascii="Questa Sans" w:hAnsi="Questa Sans"/>
          <w:sz w:val="22"/>
          <w:szCs w:val="22"/>
          <w:lang w:val="fr-FR"/>
        </w:rPr>
      </w:pPr>
      <w:r w:rsidRPr="00242A7D">
        <w:rPr>
          <w:rFonts w:ascii="Questa Sans" w:hAnsi="Questa Sans"/>
          <w:sz w:val="22"/>
          <w:szCs w:val="22"/>
          <w:lang w:val="fr-FR"/>
        </w:rPr>
        <w:t>Pour l’exercice 2026-2027, les demandes dans le domaine des sciences quantiques et des technologies en lien avec le quantique sont exclues de l’allocation BRG de votre établissement. Cela veut donc dire qu’il n’y a pas de limite par établissement pour ces demandes.</w:t>
      </w:r>
    </w:p>
    <w:p w14:paraId="6E6BC34B" w14:textId="77777777" w:rsidR="006438C8" w:rsidRPr="00242A7D" w:rsidRDefault="006438C8" w:rsidP="006438C8">
      <w:pPr>
        <w:spacing w:after="0"/>
        <w:jc w:val="both"/>
        <w:rPr>
          <w:rFonts w:ascii="Questa Sans" w:hAnsi="Questa Sans"/>
          <w:sz w:val="22"/>
          <w:szCs w:val="22"/>
          <w:lang w:val="fr-FR"/>
        </w:rPr>
      </w:pPr>
      <w:r w:rsidRPr="00242A7D">
        <w:rPr>
          <w:rFonts w:ascii="Questa Sans" w:hAnsi="Questa Sans"/>
          <w:sz w:val="22"/>
          <w:szCs w:val="22"/>
          <w:lang w:val="fr-FR"/>
        </w:rPr>
        <w:t> </w:t>
      </w:r>
    </w:p>
    <w:p w14:paraId="584F07F4" w14:textId="77777777" w:rsidR="00242A7D" w:rsidRPr="00242A7D" w:rsidRDefault="00242A7D" w:rsidP="00242A7D">
      <w:pPr>
        <w:spacing w:after="0"/>
        <w:jc w:val="both"/>
        <w:rPr>
          <w:rFonts w:ascii="Questa Sans" w:hAnsi="Questa Sans"/>
          <w:sz w:val="22"/>
          <w:szCs w:val="22"/>
          <w:lang w:val="fr-FR"/>
        </w:rPr>
      </w:pPr>
      <w:r w:rsidRPr="00242A7D">
        <w:rPr>
          <w:rFonts w:ascii="Questa Sans" w:hAnsi="Questa Sans"/>
          <w:sz w:val="22"/>
          <w:szCs w:val="22"/>
          <w:lang w:val="fr-FR"/>
        </w:rPr>
        <w:t xml:space="preserve">Veuillez noter que les programmes de Mitacs et du </w:t>
      </w:r>
      <w:proofErr w:type="spellStart"/>
      <w:r w:rsidRPr="00242A7D">
        <w:rPr>
          <w:rFonts w:ascii="Questa Sans" w:hAnsi="Questa Sans"/>
          <w:sz w:val="22"/>
          <w:szCs w:val="22"/>
          <w:lang w:val="fr-FR"/>
        </w:rPr>
        <w:t>QCenter</w:t>
      </w:r>
      <w:proofErr w:type="spellEnd"/>
      <w:r w:rsidRPr="00242A7D">
        <w:rPr>
          <w:rFonts w:ascii="Questa Sans" w:hAnsi="Questa Sans"/>
          <w:sz w:val="22"/>
          <w:szCs w:val="22"/>
          <w:lang w:val="fr-FR"/>
        </w:rPr>
        <w:t xml:space="preserve"> sont complémentaires et sont gérés séparément. Les personnes désireuses de présenter une demande doivent le faire aux deux programmes, soit le programme BRG de Mitacs et au </w:t>
      </w:r>
      <w:proofErr w:type="spellStart"/>
      <w:r w:rsidRPr="00242A7D">
        <w:rPr>
          <w:rFonts w:ascii="Questa Sans" w:hAnsi="Questa Sans"/>
          <w:sz w:val="22"/>
          <w:szCs w:val="22"/>
          <w:lang w:val="fr-FR"/>
        </w:rPr>
        <w:t>QCenter</w:t>
      </w:r>
      <w:proofErr w:type="spellEnd"/>
      <w:r w:rsidRPr="00242A7D">
        <w:rPr>
          <w:rFonts w:ascii="Questa Sans" w:hAnsi="Questa Sans"/>
          <w:sz w:val="22"/>
          <w:szCs w:val="22"/>
          <w:lang w:val="fr-FR"/>
        </w:rPr>
        <w:t xml:space="preserve">. Le financement offert aux personnes retenues est fourni par BRG de Mitacs et par le </w:t>
      </w:r>
      <w:proofErr w:type="spellStart"/>
      <w:r w:rsidRPr="00242A7D">
        <w:rPr>
          <w:rFonts w:ascii="Questa Sans" w:hAnsi="Questa Sans"/>
          <w:sz w:val="22"/>
          <w:szCs w:val="22"/>
          <w:lang w:val="fr-FR"/>
        </w:rPr>
        <w:t>QCenter</w:t>
      </w:r>
      <w:proofErr w:type="spellEnd"/>
      <w:r w:rsidRPr="00242A7D">
        <w:rPr>
          <w:rFonts w:ascii="Questa Sans" w:hAnsi="Questa Sans"/>
          <w:sz w:val="22"/>
          <w:szCs w:val="22"/>
          <w:lang w:val="fr-FR"/>
        </w:rPr>
        <w:t>.</w:t>
      </w:r>
    </w:p>
    <w:p w14:paraId="7BDE9B3A" w14:textId="77777777" w:rsidR="00F01C88" w:rsidRPr="00242A7D" w:rsidRDefault="00F01C88" w:rsidP="00F01C88">
      <w:pPr>
        <w:spacing w:after="0"/>
        <w:jc w:val="both"/>
        <w:rPr>
          <w:rFonts w:ascii="Questa Sans" w:hAnsi="Questa Sans"/>
          <w:sz w:val="22"/>
          <w:szCs w:val="22"/>
          <w:lang w:val="fr-FR"/>
        </w:rPr>
      </w:pPr>
    </w:p>
    <w:p w14:paraId="7FCC8C48" w14:textId="198D502A" w:rsidR="00F01C88" w:rsidRPr="00F41857" w:rsidRDefault="00FF7A7A" w:rsidP="00F01C88">
      <w:pPr>
        <w:spacing w:after="0"/>
        <w:jc w:val="both"/>
        <w:rPr>
          <w:rFonts w:ascii="Questa Sans" w:hAnsi="Questa Sans"/>
          <w:sz w:val="22"/>
          <w:szCs w:val="22"/>
          <w:lang w:val="fr-FR"/>
        </w:rPr>
      </w:pPr>
      <w:r w:rsidRPr="00FF7A7A">
        <w:rPr>
          <w:rFonts w:ascii="Questa Sans" w:hAnsi="Questa Sans"/>
          <w:sz w:val="22"/>
          <w:lang w:val="fr-FR"/>
        </w:rPr>
        <w:t xml:space="preserve">Des détails sur l’occasion de financement du </w:t>
      </w:r>
      <w:proofErr w:type="spellStart"/>
      <w:r w:rsidRPr="00FF7A7A">
        <w:rPr>
          <w:rFonts w:ascii="Questa Sans" w:hAnsi="Questa Sans"/>
          <w:sz w:val="22"/>
          <w:lang w:val="fr-FR"/>
        </w:rPr>
        <w:t>QCenter</w:t>
      </w:r>
      <w:proofErr w:type="spellEnd"/>
      <w:r w:rsidRPr="00FF7A7A">
        <w:rPr>
          <w:rFonts w:ascii="Questa Sans" w:hAnsi="Questa Sans"/>
          <w:sz w:val="22"/>
          <w:lang w:val="fr-FR"/>
        </w:rPr>
        <w:t xml:space="preserve"> de la Corée se trouvent sur notre site Web : </w:t>
      </w:r>
      <w:hyperlink r:id="rId10" w:history="1">
        <w:r w:rsidRPr="00FF7A7A">
          <w:rPr>
            <w:rStyle w:val="Hyperlink"/>
            <w:rFonts w:ascii="Questa Sans" w:hAnsi="Questa Sans"/>
            <w:sz w:val="22"/>
            <w:lang w:val="fr-FR"/>
          </w:rPr>
          <w:t xml:space="preserve">Bourse de recherche </w:t>
        </w:r>
        <w:proofErr w:type="spellStart"/>
        <w:r w:rsidRPr="00FF7A7A">
          <w:rPr>
            <w:rStyle w:val="Hyperlink"/>
            <w:rFonts w:ascii="Questa Sans" w:hAnsi="Questa Sans"/>
            <w:sz w:val="22"/>
            <w:lang w:val="fr-FR"/>
          </w:rPr>
          <w:t>Globalink</w:t>
        </w:r>
        <w:proofErr w:type="spellEnd"/>
        <w:r w:rsidRPr="00FF7A7A">
          <w:rPr>
            <w:rStyle w:val="Hyperlink"/>
            <w:rFonts w:ascii="Questa Sans" w:hAnsi="Questa Sans"/>
            <w:sz w:val="22"/>
            <w:lang w:val="fr-FR"/>
          </w:rPr>
          <w:t xml:space="preserve"> (BRG)</w:t>
        </w:r>
      </w:hyperlink>
      <w:r w:rsidRPr="00FF7A7A">
        <w:rPr>
          <w:rFonts w:ascii="Questa Sans" w:hAnsi="Questa Sans"/>
          <w:sz w:val="22"/>
          <w:lang w:val="fr-FR"/>
        </w:rPr>
        <w:t xml:space="preserve">. </w:t>
      </w:r>
      <w:r w:rsidR="00F41857" w:rsidRPr="00F41857">
        <w:rPr>
          <w:rFonts w:ascii="Questa Sans" w:hAnsi="Questa Sans"/>
          <w:sz w:val="22"/>
          <w:szCs w:val="22"/>
          <w:lang w:val="fr-FR"/>
        </w:rPr>
        <w:t xml:space="preserve">Pour en savoir plus sur le partenariat, veuillez lire notre </w:t>
      </w:r>
      <w:r w:rsidR="00F41857" w:rsidRPr="00F41857">
        <w:rPr>
          <w:rFonts w:ascii="Questa Sans" w:hAnsi="Questa Sans"/>
          <w:sz w:val="22"/>
          <w:szCs w:val="22"/>
          <w:lang w:val="fr-FR"/>
        </w:rPr>
        <w:lastRenderedPageBreak/>
        <w:t>communiqué de presse : </w:t>
      </w:r>
      <w:hyperlink r:id="rId11" w:tgtFrame="_blank" w:tooltip="Original URL: https://d4k5ww04.eu1.hubspotlinks.com/Ctc/OT+113/d4K5Ww04/VX4chG2b5VxKW9jg1qQ1g13VdVNrtzX5Nndr9N7jDJwC5nXHCW95jVnq6lZ3pWW4zpwnf4JnfNSW11JTBJ9cWg7WW8gwvpC6cdsN_W52n1bm37dGdgW4FVGxY1ygT3CW2zBzQ_5Jl_PgW9fXqdW6Vfg44W9fbqR71sG2KlW4gfh7R2DjPrjW6MBg5d4S" w:history="1">
        <w:r w:rsidR="00F41857" w:rsidRPr="00F41857">
          <w:rPr>
            <w:rStyle w:val="Hyperlink"/>
            <w:rFonts w:ascii="Questa Sans" w:hAnsi="Questa Sans"/>
            <w:b/>
            <w:bCs/>
            <w:sz w:val="22"/>
            <w:szCs w:val="22"/>
            <w:lang w:val="fr-FR"/>
          </w:rPr>
          <w:t xml:space="preserve">Mitacs et le </w:t>
        </w:r>
        <w:proofErr w:type="spellStart"/>
        <w:r w:rsidR="00F41857" w:rsidRPr="00F41857">
          <w:rPr>
            <w:rStyle w:val="Hyperlink"/>
            <w:rFonts w:ascii="Questa Sans" w:hAnsi="Questa Sans"/>
            <w:b/>
            <w:bCs/>
            <w:sz w:val="22"/>
            <w:szCs w:val="22"/>
            <w:lang w:val="fr-FR"/>
          </w:rPr>
          <w:t>QCenter</w:t>
        </w:r>
        <w:proofErr w:type="spellEnd"/>
        <w:r w:rsidR="00F41857" w:rsidRPr="00F41857">
          <w:rPr>
            <w:rStyle w:val="Hyperlink"/>
            <w:rFonts w:ascii="Questa Sans" w:hAnsi="Questa Sans"/>
            <w:b/>
            <w:bCs/>
            <w:sz w:val="22"/>
            <w:szCs w:val="22"/>
            <w:lang w:val="fr-FR"/>
          </w:rPr>
          <w:t xml:space="preserve"> de la Corée du Sud inaugurent un nouveau partenariat visant à faire progresser les technologies et l’innovation dans le domaine quantique</w:t>
        </w:r>
      </w:hyperlink>
    </w:p>
    <w:p w14:paraId="4CBA354B" w14:textId="0B184F80" w:rsidR="00110066" w:rsidRPr="00F41857" w:rsidRDefault="00F01C88" w:rsidP="006438C8">
      <w:pPr>
        <w:spacing w:after="0"/>
        <w:jc w:val="both"/>
        <w:rPr>
          <w:rFonts w:ascii="Questa Sans" w:hAnsi="Questa Sans"/>
          <w:sz w:val="22"/>
          <w:szCs w:val="22"/>
          <w:lang w:val="fr-FR"/>
        </w:rPr>
      </w:pPr>
      <w:r w:rsidRPr="00F41857">
        <w:rPr>
          <w:rFonts w:ascii="Questa Sans" w:hAnsi="Questa Sans"/>
          <w:sz w:val="22"/>
          <w:szCs w:val="22"/>
          <w:lang w:val="fr-FR"/>
        </w:rPr>
        <w:t> </w:t>
      </w:r>
    </w:p>
    <w:p w14:paraId="595CB14D" w14:textId="77777777" w:rsidR="001C1064" w:rsidRPr="00F41857" w:rsidRDefault="001C1064" w:rsidP="001D75AD">
      <w:pPr>
        <w:spacing w:after="0"/>
        <w:rPr>
          <w:rFonts w:ascii="Questa Sans" w:hAnsi="Questa Sans"/>
          <w:lang w:val="fr-FR"/>
        </w:rPr>
      </w:pPr>
    </w:p>
    <w:p w14:paraId="41496ECF" w14:textId="478014F2" w:rsidR="000760C1" w:rsidRPr="00674522" w:rsidRDefault="000E0584" w:rsidP="007A6803">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fr-FR"/>
          <w14:ligatures w14:val="none"/>
        </w:rPr>
      </w:pPr>
      <w:r w:rsidRPr="00674522">
        <w:rPr>
          <w:rFonts w:ascii="Questa Sans" w:hAnsi="Questa Sans"/>
          <w:b/>
          <w:color w:val="0A2471"/>
          <w:sz w:val="36"/>
          <w:lang w:val="fr-FR"/>
        </w:rPr>
        <w:t>Changements importants</w:t>
      </w:r>
    </w:p>
    <w:p w14:paraId="5E2B8A46" w14:textId="4BF6100A" w:rsidR="00B767DF" w:rsidRDefault="00C9111E" w:rsidP="008E2143">
      <w:pPr>
        <w:pStyle w:val="Heading1"/>
        <w:suppressAutoHyphens/>
        <w:spacing w:after="0" w:line="380" w:lineRule="exact"/>
        <w:jc w:val="both"/>
        <w:rPr>
          <w:rFonts w:ascii="Questa Sans" w:hAnsi="Questa Sans"/>
          <w:b/>
          <w:bCs/>
          <w:color w:val="0A2471"/>
          <w:kern w:val="0"/>
          <w:sz w:val="24"/>
          <w:szCs w:val="24"/>
          <w:lang w:val="fr-FR"/>
          <w14:ligatures w14:val="none"/>
        </w:rPr>
      </w:pPr>
      <w:r w:rsidRPr="00C9111E">
        <w:rPr>
          <w:rFonts w:ascii="Questa Sans" w:hAnsi="Questa Sans"/>
          <w:b/>
          <w:bCs/>
          <w:color w:val="0A2471"/>
          <w:kern w:val="0"/>
          <w:sz w:val="24"/>
          <w:szCs w:val="24"/>
          <w:lang w:val="fr-FR"/>
          <w14:ligatures w14:val="none"/>
        </w:rPr>
        <w:t xml:space="preserve">Politique de Mitacs </w:t>
      </w:r>
      <w:r w:rsidR="008E2143" w:rsidRPr="008E2143">
        <w:rPr>
          <w:rFonts w:ascii="Questa Sans" w:hAnsi="Questa Sans"/>
          <w:b/>
          <w:bCs/>
          <w:color w:val="0A2471"/>
          <w:kern w:val="0"/>
          <w:sz w:val="24"/>
          <w:szCs w:val="24"/>
          <w:lang w:val="fr-FR"/>
          <w14:ligatures w14:val="none"/>
        </w:rPr>
        <w:t>sur les frais de voyage et d’accueil</w:t>
      </w:r>
    </w:p>
    <w:p w14:paraId="3258C589" w14:textId="77777777" w:rsidR="008E2143" w:rsidRPr="008E2143" w:rsidRDefault="008E2143" w:rsidP="008E2143">
      <w:pPr>
        <w:spacing w:after="0"/>
        <w:rPr>
          <w:lang w:val="fr-FR"/>
        </w:rPr>
      </w:pPr>
    </w:p>
    <w:p w14:paraId="48291CB3" w14:textId="65016FCA" w:rsidR="006064A4" w:rsidRPr="006064A4" w:rsidRDefault="006064A4" w:rsidP="006064A4">
      <w:pPr>
        <w:shd w:val="clear" w:color="auto" w:fill="FFFFFF"/>
        <w:spacing w:after="0" w:line="270" w:lineRule="atLeast"/>
        <w:rPr>
          <w:rFonts w:ascii="Segoe UI" w:eastAsia="Times New Roman" w:hAnsi="Segoe UI" w:cs="Segoe UI"/>
          <w:color w:val="242424"/>
          <w:kern w:val="0"/>
          <w:sz w:val="23"/>
          <w:szCs w:val="23"/>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 xml:space="preserve">Dès maintenant, la politique de Mitacs sur les </w:t>
      </w:r>
      <w:r w:rsidR="00607DCF" w:rsidRPr="00607DCF">
        <w:rPr>
          <w:rFonts w:ascii="Questa Sans" w:eastAsia="Times New Roman" w:hAnsi="Questa Sans" w:cs="Segoe UI"/>
          <w:color w:val="000000"/>
          <w:kern w:val="0"/>
          <w:sz w:val="22"/>
          <w:szCs w:val="22"/>
          <w:bdr w:val="none" w:sz="0" w:space="0" w:color="auto" w:frame="1"/>
          <w:lang w:val="fr-FR"/>
          <w14:ligatures w14:val="none"/>
        </w:rPr>
        <w:t>frais de voyage et d’accueil</w:t>
      </w:r>
      <w:r w:rsidR="00607DCF">
        <w:rPr>
          <w:rFonts w:ascii="Questa Sans" w:eastAsia="Times New Roman" w:hAnsi="Questa Sans" w:cs="Segoe UI"/>
          <w:color w:val="000000"/>
          <w:kern w:val="0"/>
          <w:sz w:val="22"/>
          <w:szCs w:val="22"/>
          <w:bdr w:val="none" w:sz="0" w:space="0" w:color="auto" w:frame="1"/>
          <w:lang w:val="fr-FR"/>
          <w14:ligatures w14:val="none"/>
        </w:rPr>
        <w:t xml:space="preserve"> </w:t>
      </w:r>
      <w:r w:rsidRPr="006064A4">
        <w:rPr>
          <w:rFonts w:ascii="Questa Sans" w:eastAsia="Times New Roman" w:hAnsi="Questa Sans" w:cs="Segoe UI"/>
          <w:color w:val="000000"/>
          <w:kern w:val="0"/>
          <w:sz w:val="22"/>
          <w:szCs w:val="22"/>
          <w:bdr w:val="none" w:sz="0" w:space="0" w:color="auto" w:frame="1"/>
          <w:lang w:val="fr-FR"/>
          <w14:ligatures w14:val="none"/>
        </w:rPr>
        <w:t>pour les personnes participant aux programmes sera appliquée aux subventions Accélération et SSE comme suit :</w:t>
      </w:r>
    </w:p>
    <w:p w14:paraId="6C3EDF28" w14:textId="10EF25DA" w:rsidR="006064A4" w:rsidRPr="006064A4" w:rsidRDefault="006064A4" w:rsidP="006064A4">
      <w:pPr>
        <w:numPr>
          <w:ilvl w:val="0"/>
          <w:numId w:val="21"/>
        </w:numPr>
        <w:shd w:val="clear" w:color="auto" w:fill="FFFFFF"/>
        <w:spacing w:after="0" w:line="240" w:lineRule="auto"/>
        <w:ind w:left="840"/>
        <w:rPr>
          <w:rFonts w:ascii="Symbol" w:eastAsia="Times New Roman" w:hAnsi="Symbol" w:cs="Segoe UI"/>
          <w:color w:val="000000"/>
          <w:kern w:val="0"/>
          <w:sz w:val="20"/>
          <w:szCs w:val="20"/>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 xml:space="preserve">Les dépenses </w:t>
      </w:r>
      <w:r w:rsidR="0028511A" w:rsidRPr="0028511A">
        <w:rPr>
          <w:rFonts w:ascii="Questa Sans" w:eastAsia="Times New Roman" w:hAnsi="Questa Sans" w:cs="Segoe UI"/>
          <w:color w:val="000000"/>
          <w:kern w:val="0"/>
          <w:sz w:val="22"/>
          <w:szCs w:val="22"/>
          <w:bdr w:val="none" w:sz="0" w:space="0" w:color="auto" w:frame="1"/>
          <w:lang w:val="fr-FR"/>
          <w14:ligatures w14:val="none"/>
        </w:rPr>
        <w:t>d’accueil</w:t>
      </w:r>
      <w:r w:rsidRPr="006064A4">
        <w:rPr>
          <w:rFonts w:ascii="Questa Sans" w:eastAsia="Times New Roman" w:hAnsi="Questa Sans" w:cs="Segoe UI"/>
          <w:color w:val="000000"/>
          <w:kern w:val="0"/>
          <w:sz w:val="22"/>
          <w:szCs w:val="22"/>
          <w:bdr w:val="none" w:sz="0" w:space="0" w:color="auto" w:frame="1"/>
          <w:lang w:val="fr-FR"/>
          <w14:ligatures w14:val="none"/>
        </w:rPr>
        <w:t xml:space="preserve"> ne sont plus une utilisation admissible des fonds de Mitacs.</w:t>
      </w:r>
    </w:p>
    <w:p w14:paraId="43040375" w14:textId="64B1BF68" w:rsidR="006064A4" w:rsidRPr="006064A4" w:rsidRDefault="006064A4" w:rsidP="006064A4">
      <w:pPr>
        <w:numPr>
          <w:ilvl w:val="0"/>
          <w:numId w:val="21"/>
        </w:numPr>
        <w:shd w:val="clear" w:color="auto" w:fill="FFFFFF"/>
        <w:spacing w:after="0" w:line="240" w:lineRule="auto"/>
        <w:ind w:left="840"/>
        <w:rPr>
          <w:rFonts w:ascii="Symbol" w:eastAsia="Times New Roman" w:hAnsi="Symbol" w:cs="Segoe UI"/>
          <w:color w:val="000000"/>
          <w:kern w:val="0"/>
          <w:sz w:val="20"/>
          <w:szCs w:val="20"/>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 xml:space="preserve">Les dépenses de </w:t>
      </w:r>
      <w:r w:rsidR="008F4FE0" w:rsidRPr="008F4FE0">
        <w:rPr>
          <w:rFonts w:ascii="Questa Sans" w:eastAsia="Times New Roman" w:hAnsi="Questa Sans" w:cs="Segoe UI"/>
          <w:color w:val="000000"/>
          <w:kern w:val="0"/>
          <w:sz w:val="22"/>
          <w:szCs w:val="22"/>
          <w:bdr w:val="none" w:sz="0" w:space="0" w:color="auto" w:frame="1"/>
          <w:lang w:val="fr-FR"/>
          <w14:ligatures w14:val="none"/>
        </w:rPr>
        <w:t>voyage (ou frais de déplacement)</w:t>
      </w:r>
      <w:r w:rsidRPr="006064A4">
        <w:rPr>
          <w:rFonts w:ascii="Questa Sans" w:eastAsia="Times New Roman" w:hAnsi="Questa Sans" w:cs="Segoe UI"/>
          <w:color w:val="000000"/>
          <w:kern w:val="0"/>
          <w:sz w:val="22"/>
          <w:szCs w:val="22"/>
          <w:bdr w:val="none" w:sz="0" w:space="0" w:color="auto" w:frame="1"/>
          <w:lang w:val="fr-FR"/>
          <w14:ligatures w14:val="none"/>
        </w:rPr>
        <w:t xml:space="preserve"> demeurent une utilisation admissible de la portion des subventions Accélération et SSE de Mitacs réservée aux dépenses de recherche, assujetties aux exigences suivantes :</w:t>
      </w:r>
    </w:p>
    <w:p w14:paraId="0C057826" w14:textId="77777777" w:rsidR="006064A4" w:rsidRPr="006064A4" w:rsidRDefault="006064A4" w:rsidP="006064A4">
      <w:pPr>
        <w:numPr>
          <w:ilvl w:val="1"/>
          <w:numId w:val="21"/>
        </w:numPr>
        <w:shd w:val="clear" w:color="auto" w:fill="FFFFFF"/>
        <w:spacing w:after="0" w:line="240" w:lineRule="auto"/>
        <w:ind w:left="1560"/>
        <w:textAlignment w:val="baseline"/>
        <w:rPr>
          <w:rFonts w:ascii="inherit" w:eastAsia="Times New Roman" w:hAnsi="inherit" w:cs="Segoe UI"/>
          <w:color w:val="000000"/>
          <w:kern w:val="0"/>
          <w:sz w:val="22"/>
          <w:szCs w:val="22"/>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Il incombe encore aux établissements postsecondaires et aux instituts de recherche de déterminer si les dépenses, y compris pour les déplacements, sont admissibles comme coût direct du projet de recherche ou d’innovation, conformément au </w:t>
      </w:r>
      <w:hyperlink r:id="rId12" w:tooltip="https://www.nserc-crsng.gc.ca/InterAgency-Interorganismes/TAFA-AFTO/index_fra.asp" w:history="1">
        <w:r w:rsidRPr="006064A4">
          <w:rPr>
            <w:rFonts w:ascii="Questa Sans" w:eastAsia="Times New Roman" w:hAnsi="Questa Sans" w:cs="Segoe UI"/>
            <w:color w:val="0563C1"/>
            <w:kern w:val="0"/>
            <w:sz w:val="22"/>
            <w:szCs w:val="22"/>
            <w:u w:val="single"/>
            <w:bdr w:val="none" w:sz="0" w:space="0" w:color="auto" w:frame="1"/>
            <w:lang w:val="fr-FR"/>
            <w14:ligatures w14:val="none"/>
          </w:rPr>
          <w:t>Guide Administration financière des trois organismes</w:t>
        </w:r>
      </w:hyperlink>
      <w:r w:rsidRPr="006064A4">
        <w:rPr>
          <w:rFonts w:ascii="Calibri" w:eastAsia="Times New Roman" w:hAnsi="Calibri" w:cs="Calibri"/>
          <w:color w:val="000000"/>
          <w:kern w:val="0"/>
          <w:sz w:val="22"/>
          <w:szCs w:val="22"/>
          <w:bdr w:val="none" w:sz="0" w:space="0" w:color="auto" w:frame="1"/>
          <w:lang w:val="fr-FR"/>
          <w14:ligatures w14:val="none"/>
        </w:rPr>
        <w:t>.</w:t>
      </w:r>
    </w:p>
    <w:p w14:paraId="48DEF8B6" w14:textId="77777777" w:rsidR="006064A4" w:rsidRPr="006064A4" w:rsidRDefault="006064A4" w:rsidP="006064A4">
      <w:pPr>
        <w:numPr>
          <w:ilvl w:val="1"/>
          <w:numId w:val="21"/>
        </w:numPr>
        <w:shd w:val="clear" w:color="auto" w:fill="FFFFFF"/>
        <w:spacing w:after="0" w:line="240" w:lineRule="auto"/>
        <w:ind w:left="1560"/>
        <w:textAlignment w:val="baseline"/>
        <w:rPr>
          <w:rFonts w:ascii="Questa Sans" w:eastAsia="Times New Roman" w:hAnsi="Questa Sans" w:cs="Segoe UI"/>
          <w:color w:val="000000"/>
          <w:kern w:val="0"/>
          <w:sz w:val="22"/>
          <w:szCs w:val="22"/>
          <w:lang w:val="fr-FR"/>
          <w14:ligatures w14:val="none"/>
        </w:rPr>
      </w:pPr>
      <w:r w:rsidRPr="006064A4">
        <w:rPr>
          <w:rFonts w:ascii="Questa Sans" w:eastAsia="Times New Roman" w:hAnsi="Questa Sans" w:cs="Segoe UI"/>
          <w:color w:val="000000"/>
          <w:kern w:val="0"/>
          <w:sz w:val="22"/>
          <w:szCs w:val="22"/>
          <w:lang w:val="fr-FR"/>
          <w14:ligatures w14:val="none"/>
        </w:rPr>
        <w:t>Les dépenses doivent désormais aussi être conformes aux pratiques modernes de déplacement de la </w:t>
      </w:r>
      <w:hyperlink r:id="rId13" w:tooltip="https://www.njc-cnm.gc.ca/directive/d10/fr" w:history="1">
        <w:r w:rsidRPr="006064A4">
          <w:rPr>
            <w:rFonts w:ascii="Questa Sans" w:eastAsia="Times New Roman" w:hAnsi="Questa Sans" w:cs="Segoe UI"/>
            <w:color w:val="0563C1"/>
            <w:kern w:val="0"/>
            <w:sz w:val="22"/>
            <w:szCs w:val="22"/>
            <w:u w:val="single"/>
            <w:bdr w:val="none" w:sz="0" w:space="0" w:color="auto" w:frame="1"/>
            <w:lang w:val="fr-FR"/>
            <w14:ligatures w14:val="none"/>
          </w:rPr>
          <w:t>Directive sur les voyages du Conseil national mixte (CNM)</w:t>
        </w:r>
      </w:hyperlink>
      <w:r w:rsidRPr="006064A4">
        <w:rPr>
          <w:rFonts w:ascii="Questa Sans" w:eastAsia="Times New Roman" w:hAnsi="Questa Sans" w:cs="Segoe UI"/>
          <w:color w:val="000000"/>
          <w:kern w:val="0"/>
          <w:sz w:val="22"/>
          <w:szCs w:val="22"/>
          <w:lang w:val="fr-FR"/>
          <w14:ligatures w14:val="none"/>
        </w:rPr>
        <w:t>.</w:t>
      </w:r>
    </w:p>
    <w:p w14:paraId="2CF82CB8" w14:textId="77777777" w:rsidR="006064A4" w:rsidRPr="006064A4" w:rsidRDefault="006064A4" w:rsidP="006064A4">
      <w:pPr>
        <w:numPr>
          <w:ilvl w:val="1"/>
          <w:numId w:val="21"/>
        </w:numPr>
        <w:shd w:val="clear" w:color="auto" w:fill="FFFFFF"/>
        <w:spacing w:after="0" w:line="240" w:lineRule="auto"/>
        <w:ind w:left="1560"/>
        <w:textAlignment w:val="baseline"/>
        <w:rPr>
          <w:rFonts w:ascii="Questa Sans" w:eastAsia="Times New Roman" w:hAnsi="Questa Sans" w:cs="Segoe UI"/>
          <w:color w:val="000000"/>
          <w:kern w:val="0"/>
          <w:sz w:val="22"/>
          <w:szCs w:val="22"/>
          <w:lang w:val="fr-FR"/>
          <w14:ligatures w14:val="none"/>
        </w:rPr>
      </w:pPr>
      <w:r w:rsidRPr="006064A4">
        <w:rPr>
          <w:rFonts w:ascii="Questa Sans" w:eastAsia="Times New Roman" w:hAnsi="Questa Sans" w:cs="Segoe UI"/>
          <w:color w:val="000000"/>
          <w:kern w:val="0"/>
          <w:sz w:val="22"/>
          <w:szCs w:val="22"/>
          <w:lang w:val="fr-FR"/>
          <w14:ligatures w14:val="none"/>
        </w:rPr>
        <w:t>Les frais de déplacement sont limités à un montant de </w:t>
      </w:r>
      <w:r w:rsidRPr="006064A4">
        <w:rPr>
          <w:rFonts w:ascii="Questa Sans" w:eastAsia="Times New Roman" w:hAnsi="Questa Sans" w:cs="Segoe UI"/>
          <w:b/>
          <w:bCs/>
          <w:color w:val="000000"/>
          <w:kern w:val="0"/>
          <w:sz w:val="22"/>
          <w:szCs w:val="22"/>
          <w:lang w:val="fr-FR"/>
          <w14:ligatures w14:val="none"/>
        </w:rPr>
        <w:t>2 500 $</w:t>
      </w:r>
      <w:r w:rsidRPr="006064A4">
        <w:rPr>
          <w:rFonts w:ascii="Questa Sans" w:eastAsia="Times New Roman" w:hAnsi="Questa Sans" w:cs="Segoe UI"/>
          <w:color w:val="000000"/>
          <w:kern w:val="0"/>
          <w:sz w:val="22"/>
          <w:szCs w:val="22"/>
          <w:lang w:val="fr-FR"/>
          <w14:ligatures w14:val="none"/>
        </w:rPr>
        <w:t> par unité de stage de </w:t>
      </w:r>
      <w:r w:rsidRPr="006064A4">
        <w:rPr>
          <w:rFonts w:ascii="Questa Sans" w:eastAsia="Times New Roman" w:hAnsi="Questa Sans" w:cs="Segoe UI"/>
          <w:b/>
          <w:bCs/>
          <w:color w:val="000000"/>
          <w:kern w:val="0"/>
          <w:sz w:val="22"/>
          <w:szCs w:val="22"/>
          <w:lang w:val="fr-FR"/>
          <w14:ligatures w14:val="none"/>
        </w:rPr>
        <w:t>4 à 6 mois</w:t>
      </w:r>
      <w:r w:rsidRPr="006064A4">
        <w:rPr>
          <w:rFonts w:ascii="Questa Sans" w:eastAsia="Times New Roman" w:hAnsi="Questa Sans" w:cs="Segoe UI"/>
          <w:color w:val="000000"/>
          <w:kern w:val="0"/>
          <w:sz w:val="22"/>
          <w:szCs w:val="22"/>
          <w:lang w:val="fr-FR"/>
          <w14:ligatures w14:val="none"/>
        </w:rPr>
        <w:t>.</w:t>
      </w:r>
    </w:p>
    <w:p w14:paraId="47D85713" w14:textId="77777777" w:rsidR="006064A4" w:rsidRPr="006064A4" w:rsidRDefault="006064A4" w:rsidP="006064A4">
      <w:pPr>
        <w:numPr>
          <w:ilvl w:val="0"/>
          <w:numId w:val="21"/>
        </w:numPr>
        <w:shd w:val="clear" w:color="auto" w:fill="FFFFFF"/>
        <w:spacing w:after="0" w:line="240" w:lineRule="auto"/>
        <w:ind w:left="840"/>
        <w:rPr>
          <w:rFonts w:ascii="Symbol" w:eastAsia="Times New Roman" w:hAnsi="Symbol" w:cs="Segoe UI"/>
          <w:color w:val="000000"/>
          <w:kern w:val="0"/>
          <w:sz w:val="20"/>
          <w:szCs w:val="20"/>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 xml:space="preserve">Les processus </w:t>
      </w:r>
      <w:proofErr w:type="spellStart"/>
      <w:r w:rsidRPr="006064A4">
        <w:rPr>
          <w:rFonts w:ascii="Questa Sans" w:eastAsia="Times New Roman" w:hAnsi="Questa Sans" w:cs="Segoe UI"/>
          <w:color w:val="000000"/>
          <w:kern w:val="0"/>
          <w:sz w:val="22"/>
          <w:szCs w:val="22"/>
          <w:bdr w:val="none" w:sz="0" w:space="0" w:color="auto" w:frame="1"/>
          <w:lang w:val="fr-FR"/>
          <w14:ligatures w14:val="none"/>
        </w:rPr>
        <w:t>Globalink</w:t>
      </w:r>
      <w:proofErr w:type="spellEnd"/>
      <w:r w:rsidRPr="006064A4">
        <w:rPr>
          <w:rFonts w:ascii="Questa Sans" w:eastAsia="Times New Roman" w:hAnsi="Questa Sans" w:cs="Segoe UI"/>
          <w:color w:val="000000"/>
          <w:kern w:val="0"/>
          <w:sz w:val="22"/>
          <w:szCs w:val="22"/>
          <w:bdr w:val="none" w:sz="0" w:space="0" w:color="auto" w:frame="1"/>
          <w:lang w:val="fr-FR"/>
          <w14:ligatures w14:val="none"/>
        </w:rPr>
        <w:t xml:space="preserve"> demeurent les mêmes.</w:t>
      </w:r>
    </w:p>
    <w:p w14:paraId="519151A3" w14:textId="77777777" w:rsidR="006064A4" w:rsidRPr="006064A4" w:rsidRDefault="006064A4" w:rsidP="006064A4">
      <w:pPr>
        <w:numPr>
          <w:ilvl w:val="0"/>
          <w:numId w:val="21"/>
        </w:numPr>
        <w:shd w:val="clear" w:color="auto" w:fill="FFFFFF"/>
        <w:spacing w:after="0" w:line="240" w:lineRule="auto"/>
        <w:ind w:left="840"/>
        <w:rPr>
          <w:rFonts w:ascii="Symbol" w:eastAsia="Times New Roman" w:hAnsi="Symbol" w:cs="Segoe UI"/>
          <w:color w:val="000000"/>
          <w:kern w:val="0"/>
          <w:sz w:val="20"/>
          <w:szCs w:val="20"/>
          <w:lang w:val="fr-FR"/>
          <w14:ligatures w14:val="none"/>
        </w:rPr>
      </w:pPr>
      <w:hyperlink r:id="rId14" w:tooltip="https://www.mitacs.ca/wp-content/uploads/2022/02/mitacs_travel_subsidy_program.zip" w:history="1">
        <w:r w:rsidRPr="006064A4">
          <w:rPr>
            <w:rFonts w:ascii="Questa Sans" w:eastAsia="Times New Roman" w:hAnsi="Questa Sans" w:cs="Segoe UI"/>
            <w:color w:val="0563C1"/>
            <w:kern w:val="0"/>
            <w:sz w:val="22"/>
            <w:szCs w:val="22"/>
            <w:u w:val="single"/>
            <w:bdr w:val="none" w:sz="0" w:space="0" w:color="auto" w:frame="1"/>
            <w:lang w:val="fr-FR"/>
            <w14:ligatures w14:val="none"/>
          </w:rPr>
          <w:t>Les subventions de déplacement</w:t>
        </w:r>
      </w:hyperlink>
      <w:r w:rsidRPr="006064A4">
        <w:rPr>
          <w:rFonts w:ascii="Questa Sans" w:eastAsia="Times New Roman" w:hAnsi="Questa Sans" w:cs="Segoe UI"/>
          <w:color w:val="000000"/>
          <w:kern w:val="0"/>
          <w:sz w:val="22"/>
          <w:szCs w:val="22"/>
          <w:bdr w:val="none" w:sz="0" w:space="0" w:color="auto" w:frame="1"/>
          <w:lang w:val="fr-FR"/>
          <w14:ligatures w14:val="none"/>
        </w:rPr>
        <w:t> seront toujours offertes, lorsque nécessaire, pour réduire les obstacles à la participation. Les demandes peuvent être soumises à l’aide du processus actuel.</w:t>
      </w:r>
    </w:p>
    <w:p w14:paraId="292F7CAD" w14:textId="77777777" w:rsidR="006064A4" w:rsidRDefault="006064A4" w:rsidP="006064A4">
      <w:pPr>
        <w:shd w:val="clear" w:color="auto" w:fill="FFFFFF"/>
        <w:spacing w:after="0" w:line="270" w:lineRule="atLeast"/>
        <w:rPr>
          <w:rFonts w:ascii="Questa Sans" w:eastAsia="Times New Roman" w:hAnsi="Questa Sans" w:cs="Segoe UI"/>
          <w:color w:val="000000"/>
          <w:kern w:val="0"/>
          <w:sz w:val="22"/>
          <w:szCs w:val="22"/>
          <w:bdr w:val="none" w:sz="0" w:space="0" w:color="auto" w:frame="1"/>
          <w:lang w:val="fr-FR"/>
          <w14:ligatures w14:val="none"/>
        </w:rPr>
      </w:pPr>
    </w:p>
    <w:p w14:paraId="4EF5BCF8" w14:textId="1960948C" w:rsidR="006064A4" w:rsidRPr="006064A4" w:rsidRDefault="006064A4" w:rsidP="006064A4">
      <w:pPr>
        <w:shd w:val="clear" w:color="auto" w:fill="FFFFFF"/>
        <w:spacing w:after="0" w:line="270" w:lineRule="atLeast"/>
        <w:rPr>
          <w:rFonts w:ascii="Segoe UI" w:eastAsia="Times New Roman" w:hAnsi="Segoe UI" w:cs="Segoe UI"/>
          <w:color w:val="242424"/>
          <w:kern w:val="0"/>
          <w:sz w:val="23"/>
          <w:szCs w:val="23"/>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Les dépenses admissibles pour les programmes de Mitacs se trouvent sur notre site Web [</w:t>
      </w:r>
      <w:r>
        <w:fldChar w:fldCharType="begin"/>
      </w:r>
      <w:r w:rsidRPr="002E0E44">
        <w:rPr>
          <w:lang w:val="fr-CA"/>
        </w:rPr>
        <w:instrText>HYPERLINK "https://www.mitacs.ca/fr-ca/a-propos/politiques/" \o "https://www.mitacs.ca/fr-ca/a-propos/politiques/"</w:instrText>
      </w:r>
      <w:r>
        <w:fldChar w:fldCharType="separate"/>
      </w:r>
      <w:r w:rsidRPr="006064A4">
        <w:rPr>
          <w:rFonts w:ascii="Questa Sans" w:eastAsia="Times New Roman" w:hAnsi="Questa Sans" w:cs="Segoe UI"/>
          <w:color w:val="0563C1"/>
          <w:kern w:val="0"/>
          <w:sz w:val="22"/>
          <w:szCs w:val="22"/>
          <w:u w:val="single"/>
          <w:bdr w:val="none" w:sz="0" w:space="0" w:color="auto" w:frame="1"/>
          <w:lang w:val="fr-FR"/>
          <w14:ligatures w14:val="none"/>
        </w:rPr>
        <w:t>Politiques de Mitacs :</w:t>
      </w:r>
      <w:r>
        <w:fldChar w:fldCharType="end"/>
      </w:r>
      <w:r>
        <w:fldChar w:fldCharType="begin"/>
      </w:r>
      <w:r w:rsidRPr="002E0E44">
        <w:rPr>
          <w:lang w:val="fr-CA"/>
        </w:rPr>
        <w:instrText>HYPERLINK "https://www.mitacs.ca/fr-ca/a-propos/politiques/" \o "https://www.mitacs.ca/fr-ca/a-propos/politiques/"</w:instrText>
      </w:r>
      <w:r>
        <w:fldChar w:fldCharType="separate"/>
      </w:r>
      <w:r w:rsidRPr="006064A4">
        <w:rPr>
          <w:rFonts w:ascii="Questa Sans" w:eastAsia="Times New Roman" w:hAnsi="Questa Sans" w:cs="Segoe UI"/>
          <w:color w:val="0563C1"/>
          <w:kern w:val="0"/>
          <w:sz w:val="22"/>
          <w:szCs w:val="22"/>
          <w:u w:val="single"/>
          <w:bdr w:val="none" w:sz="0" w:space="0" w:color="auto" w:frame="1"/>
          <w:lang w:val="fr-FR"/>
          <w14:ligatures w14:val="none"/>
        </w:rPr>
        <w:t>Lignes directrices organisationnelles et des programmes — Mitacs</w:t>
      </w:r>
      <w:r>
        <w:fldChar w:fldCharType="end"/>
      </w:r>
      <w:r w:rsidRPr="006064A4">
        <w:rPr>
          <w:rFonts w:ascii="Questa Sans" w:eastAsia="Times New Roman" w:hAnsi="Questa Sans" w:cs="Segoe UI"/>
          <w:color w:val="000000"/>
          <w:kern w:val="0"/>
          <w:sz w:val="22"/>
          <w:szCs w:val="22"/>
          <w:bdr w:val="none" w:sz="0" w:space="0" w:color="auto" w:frame="1"/>
          <w:lang w:val="fr-FR"/>
          <w14:ligatures w14:val="none"/>
        </w:rPr>
        <w:t xml:space="preserve">]. Veuillez rediriger les personnes participant aux programmes vers cette </w:t>
      </w:r>
      <w:proofErr w:type="gramStart"/>
      <w:r w:rsidRPr="006064A4">
        <w:rPr>
          <w:rFonts w:ascii="Questa Sans" w:eastAsia="Times New Roman" w:hAnsi="Questa Sans" w:cs="Segoe UI"/>
          <w:color w:val="000000"/>
          <w:kern w:val="0"/>
          <w:sz w:val="22"/>
          <w:szCs w:val="22"/>
          <w:bdr w:val="none" w:sz="0" w:space="0" w:color="auto" w:frame="1"/>
          <w:lang w:val="fr-FR"/>
          <w14:ligatures w14:val="none"/>
        </w:rPr>
        <w:t>page:</w:t>
      </w:r>
      <w:proofErr w:type="gramEnd"/>
      <w:r w:rsidRPr="006064A4">
        <w:rPr>
          <w:rFonts w:ascii="Questa Sans" w:eastAsia="Times New Roman" w:hAnsi="Questa Sans" w:cs="Segoe UI"/>
          <w:color w:val="000000"/>
          <w:kern w:val="0"/>
          <w:sz w:val="22"/>
          <w:szCs w:val="22"/>
          <w:bdr w:val="none" w:sz="0" w:space="0" w:color="auto" w:frame="1"/>
          <w:lang w:val="fr-FR"/>
          <w14:ligatures w14:val="none"/>
        </w:rPr>
        <w:t xml:space="preserve"> elles y trouveront les informations les plus complètes et à jour.</w:t>
      </w:r>
    </w:p>
    <w:p w14:paraId="445F5F5E" w14:textId="77777777" w:rsidR="006064A4" w:rsidRPr="006064A4" w:rsidRDefault="006064A4" w:rsidP="006064A4">
      <w:pPr>
        <w:shd w:val="clear" w:color="auto" w:fill="FFFFFF"/>
        <w:spacing w:after="0" w:line="270" w:lineRule="atLeast"/>
        <w:rPr>
          <w:rFonts w:ascii="Segoe UI" w:eastAsia="Times New Roman" w:hAnsi="Segoe UI" w:cs="Segoe UI"/>
          <w:color w:val="242424"/>
          <w:kern w:val="0"/>
          <w:sz w:val="23"/>
          <w:szCs w:val="23"/>
          <w:lang w:val="fr-FR"/>
          <w14:ligatures w14:val="none"/>
        </w:rPr>
      </w:pPr>
      <w:r w:rsidRPr="006064A4">
        <w:rPr>
          <w:rFonts w:ascii="Questa Sans" w:eastAsia="Times New Roman" w:hAnsi="Questa Sans" w:cs="Segoe UI"/>
          <w:color w:val="000000"/>
          <w:kern w:val="0"/>
          <w:sz w:val="22"/>
          <w:szCs w:val="22"/>
          <w:bdr w:val="none" w:sz="0" w:space="0" w:color="auto" w:frame="1"/>
          <w:lang w:val="fr-FR"/>
          <w14:ligatures w14:val="none"/>
        </w:rPr>
        <w:t> </w:t>
      </w:r>
    </w:p>
    <w:p w14:paraId="5A61DECD" w14:textId="77777777" w:rsidR="00CF6E89" w:rsidRPr="00C64A94" w:rsidRDefault="00CF6E89" w:rsidP="00CF6E89">
      <w:pPr>
        <w:pStyle w:val="Heading1"/>
        <w:suppressAutoHyphens/>
        <w:spacing w:before="0" w:after="0" w:line="380" w:lineRule="exact"/>
        <w:jc w:val="both"/>
        <w:rPr>
          <w:rFonts w:ascii="Questa Sans" w:hAnsi="Questa Sans"/>
          <w:b/>
          <w:bCs/>
          <w:color w:val="0A2471"/>
          <w:kern w:val="0"/>
          <w:sz w:val="24"/>
          <w:szCs w:val="24"/>
          <w:lang w:val="fr-FR"/>
          <w14:ligatures w14:val="none"/>
        </w:rPr>
      </w:pPr>
      <w:r w:rsidRPr="00C64A94">
        <w:rPr>
          <w:rFonts w:ascii="Questa Sans" w:hAnsi="Questa Sans"/>
          <w:b/>
          <w:bCs/>
          <w:color w:val="0A2471"/>
          <w:kern w:val="0"/>
          <w:sz w:val="24"/>
          <w:szCs w:val="24"/>
          <w:lang w:val="fr-FR"/>
          <w14:ligatures w14:val="none"/>
        </w:rPr>
        <w:t>Administration simplifiée des demandes conjointes à Mitacs et au CRSNG</w:t>
      </w:r>
    </w:p>
    <w:p w14:paraId="5ECFA33E" w14:textId="77777777" w:rsidR="00B767DF" w:rsidRPr="00C64A94" w:rsidRDefault="00B767DF" w:rsidP="006438C8">
      <w:pPr>
        <w:spacing w:after="0"/>
        <w:jc w:val="both"/>
        <w:rPr>
          <w:lang w:val="fr-FR"/>
        </w:rPr>
      </w:pPr>
    </w:p>
    <w:p w14:paraId="6A98D2C9" w14:textId="77777777" w:rsidR="00CF6E89" w:rsidRPr="00CF6E89" w:rsidRDefault="00CF6E89" w:rsidP="00CF6E89">
      <w:pPr>
        <w:spacing w:after="0"/>
        <w:jc w:val="both"/>
        <w:rPr>
          <w:rFonts w:ascii="Questa Sans" w:hAnsi="Questa Sans"/>
          <w:sz w:val="22"/>
          <w:szCs w:val="22"/>
          <w:lang w:val="fr-FR"/>
        </w:rPr>
      </w:pPr>
      <w:r w:rsidRPr="00CF6E89">
        <w:rPr>
          <w:rFonts w:ascii="Questa Sans" w:hAnsi="Questa Sans"/>
          <w:sz w:val="22"/>
          <w:szCs w:val="22"/>
          <w:lang w:val="fr-FR"/>
        </w:rPr>
        <w:t>Les demandes conjointes à Mitacs et au CRSNG sont soumises à l’aide d’un processus en 2 parties. Pour alléger les processus administratifs et financiers, nous introduisons une structure simplifiée pour les comptes et les rapports :</w:t>
      </w:r>
    </w:p>
    <w:p w14:paraId="03DB51B3" w14:textId="77777777" w:rsidR="00CF6E89" w:rsidRPr="00CF6E89" w:rsidRDefault="00CF6E89" w:rsidP="00CF6E89">
      <w:pPr>
        <w:spacing w:after="0"/>
        <w:jc w:val="both"/>
        <w:rPr>
          <w:rFonts w:ascii="Questa Sans" w:hAnsi="Questa Sans"/>
          <w:sz w:val="22"/>
          <w:szCs w:val="22"/>
          <w:lang w:val="fr-FR"/>
        </w:rPr>
      </w:pPr>
      <w:r w:rsidRPr="00CF6E89">
        <w:rPr>
          <w:rFonts w:ascii="Questa Sans" w:hAnsi="Questa Sans"/>
          <w:sz w:val="22"/>
          <w:szCs w:val="22"/>
          <w:lang w:val="fr-FR"/>
        </w:rPr>
        <w:t> </w:t>
      </w:r>
    </w:p>
    <w:p w14:paraId="0FD9E9FE" w14:textId="77777777" w:rsidR="00CF6E89" w:rsidRPr="00CF6E89" w:rsidRDefault="00CF6E89" w:rsidP="00CF6E89">
      <w:pPr>
        <w:numPr>
          <w:ilvl w:val="0"/>
          <w:numId w:val="6"/>
        </w:numPr>
        <w:spacing w:after="0"/>
        <w:jc w:val="both"/>
        <w:rPr>
          <w:rFonts w:ascii="Questa Sans" w:hAnsi="Questa Sans"/>
          <w:sz w:val="22"/>
          <w:szCs w:val="22"/>
          <w:lang w:val="fr-FR"/>
        </w:rPr>
      </w:pPr>
      <w:r w:rsidRPr="00CF6E89">
        <w:rPr>
          <w:rFonts w:ascii="Questa Sans" w:hAnsi="Questa Sans"/>
          <w:sz w:val="22"/>
          <w:szCs w:val="22"/>
          <w:lang w:val="fr-FR"/>
        </w:rPr>
        <w:t>Un seul compte peut être ouvert pour un numéro de projet (IT#####) de partie 1 de Mitacs.</w:t>
      </w:r>
    </w:p>
    <w:p w14:paraId="35F25DF6" w14:textId="77777777" w:rsidR="00CF6E89" w:rsidRPr="00CF6E89" w:rsidRDefault="00CF6E89" w:rsidP="00CF6E89">
      <w:pPr>
        <w:numPr>
          <w:ilvl w:val="0"/>
          <w:numId w:val="6"/>
        </w:numPr>
        <w:spacing w:after="0"/>
        <w:jc w:val="both"/>
        <w:rPr>
          <w:rFonts w:ascii="Questa Sans" w:hAnsi="Questa Sans"/>
          <w:sz w:val="22"/>
          <w:szCs w:val="22"/>
          <w:lang w:val="fr-FR"/>
        </w:rPr>
      </w:pPr>
      <w:r w:rsidRPr="00CF6E89">
        <w:rPr>
          <w:rFonts w:ascii="Questa Sans" w:hAnsi="Questa Sans"/>
          <w:sz w:val="22"/>
          <w:szCs w:val="22"/>
          <w:lang w:val="fr-FR"/>
        </w:rPr>
        <w:lastRenderedPageBreak/>
        <w:t>Tous les fonds octroyés pour chaque partie 2 peuvent être déposés dans ce même compte. Prenez note que les avis d’octroi pour les parties 2 feront aussi référence au numéro de projet (ITXXXXX) de la partie 1 de Mitacs.</w:t>
      </w:r>
    </w:p>
    <w:p w14:paraId="2E0B720C" w14:textId="77777777" w:rsidR="00CF6E89" w:rsidRPr="00CF6E89" w:rsidRDefault="00CF6E89" w:rsidP="00CF6E89">
      <w:pPr>
        <w:numPr>
          <w:ilvl w:val="0"/>
          <w:numId w:val="6"/>
        </w:numPr>
        <w:spacing w:after="0"/>
        <w:jc w:val="both"/>
        <w:rPr>
          <w:rFonts w:ascii="Questa Sans" w:hAnsi="Questa Sans"/>
          <w:sz w:val="22"/>
          <w:szCs w:val="22"/>
          <w:lang w:val="fr-FR"/>
        </w:rPr>
      </w:pPr>
      <w:r w:rsidRPr="00CF6E89">
        <w:rPr>
          <w:rFonts w:ascii="Questa Sans" w:hAnsi="Questa Sans"/>
          <w:sz w:val="22"/>
          <w:szCs w:val="22"/>
          <w:lang w:val="fr-FR"/>
        </w:rPr>
        <w:t>Tous les rapports financiers peuvent être consolidés et soumis depuis ce compte unique à l’aide du Formulaire 300 standard.</w:t>
      </w:r>
    </w:p>
    <w:p w14:paraId="0DD855BE" w14:textId="77777777" w:rsidR="004E238D" w:rsidRPr="00CF6E89" w:rsidRDefault="004E238D" w:rsidP="006438C8">
      <w:pPr>
        <w:spacing w:after="0"/>
        <w:jc w:val="both"/>
        <w:rPr>
          <w:rFonts w:ascii="Questa Sans" w:hAnsi="Questa Sans"/>
          <w:sz w:val="22"/>
          <w:szCs w:val="22"/>
          <w:lang w:val="fr-FR"/>
        </w:rPr>
      </w:pPr>
    </w:p>
    <w:p w14:paraId="11DD80DA" w14:textId="77777777" w:rsidR="00773FAA" w:rsidRPr="00773FAA" w:rsidRDefault="00773FAA" w:rsidP="00773FAA">
      <w:pPr>
        <w:spacing w:after="0"/>
        <w:jc w:val="both"/>
        <w:rPr>
          <w:rFonts w:ascii="Questa Sans" w:hAnsi="Questa Sans"/>
          <w:sz w:val="22"/>
          <w:szCs w:val="22"/>
          <w:lang w:val="fr-CA"/>
        </w:rPr>
      </w:pPr>
      <w:r w:rsidRPr="00773FAA">
        <w:rPr>
          <w:rFonts w:ascii="Questa Sans" w:hAnsi="Questa Sans"/>
          <w:sz w:val="22"/>
          <w:szCs w:val="22"/>
          <w:lang w:val="fr-CA"/>
        </w:rPr>
        <w:t xml:space="preserve">Les établissements ont la possibilité de verser les fonds alloués sur des comptes distincts pour chaque subvention de partie 2 et d’en rendre compte séparément, s’ils le souhaitent.  </w:t>
      </w:r>
    </w:p>
    <w:p w14:paraId="6F5F7D8D" w14:textId="77777777" w:rsidR="004E238D" w:rsidRPr="00773FAA" w:rsidRDefault="004E238D" w:rsidP="006438C8">
      <w:pPr>
        <w:spacing w:after="0"/>
        <w:jc w:val="both"/>
        <w:rPr>
          <w:lang w:val="fr-CA"/>
        </w:rPr>
      </w:pPr>
    </w:p>
    <w:p w14:paraId="76ADD4D5" w14:textId="77777777" w:rsidR="00E24E4A" w:rsidRPr="00E24E4A" w:rsidRDefault="00E24E4A" w:rsidP="00E24E4A">
      <w:pPr>
        <w:pStyle w:val="Heading1"/>
        <w:suppressAutoHyphens/>
        <w:spacing w:before="0" w:after="0" w:line="380" w:lineRule="exact"/>
        <w:jc w:val="both"/>
        <w:rPr>
          <w:rFonts w:ascii="Questa Sans" w:hAnsi="Questa Sans"/>
          <w:b/>
          <w:bCs/>
          <w:color w:val="0A2471"/>
          <w:kern w:val="0"/>
          <w:sz w:val="24"/>
          <w:szCs w:val="24"/>
          <w:lang w:val="fr-FR"/>
          <w14:ligatures w14:val="none"/>
        </w:rPr>
      </w:pPr>
      <w:r w:rsidRPr="00E24E4A">
        <w:rPr>
          <w:rFonts w:ascii="Questa Sans" w:hAnsi="Questa Sans"/>
          <w:b/>
          <w:color w:val="0A2471"/>
          <w:sz w:val="24"/>
          <w:lang w:val="fr-FR"/>
        </w:rPr>
        <w:t>Retrait du modèle de financement en grappe</w:t>
      </w:r>
    </w:p>
    <w:p w14:paraId="64081355" w14:textId="77777777" w:rsidR="008F15F3" w:rsidRPr="00E24E4A" w:rsidRDefault="008F15F3" w:rsidP="008F15F3">
      <w:pPr>
        <w:spacing w:after="0"/>
        <w:rPr>
          <w:highlight w:val="yellow"/>
          <w:lang w:val="fr-FR"/>
        </w:rPr>
      </w:pPr>
    </w:p>
    <w:p w14:paraId="083E0712" w14:textId="7696BFA5" w:rsidR="00EC23BD" w:rsidRPr="00EC23BD" w:rsidRDefault="005D479E" w:rsidP="00EC23BD">
      <w:pPr>
        <w:spacing w:after="0"/>
        <w:jc w:val="both"/>
        <w:rPr>
          <w:rFonts w:ascii="Questa Sans" w:hAnsi="Questa Sans"/>
          <w:sz w:val="22"/>
          <w:szCs w:val="22"/>
          <w:lang w:val="fr-FR"/>
        </w:rPr>
      </w:pPr>
      <w:r w:rsidRPr="005D479E">
        <w:rPr>
          <w:rFonts w:ascii="Questa Sans" w:hAnsi="Questa Sans"/>
          <w:sz w:val="22"/>
          <w:szCs w:val="22"/>
          <w:lang w:val="fr-FR"/>
        </w:rPr>
        <w:t>Mitacs retire le modèle de financement en grappe (13 333 $ par unité de stage) ainsi que le programme Bourse Accélération.</w:t>
      </w:r>
      <w:r>
        <w:rPr>
          <w:rFonts w:ascii="Questa Sans" w:hAnsi="Questa Sans"/>
          <w:sz w:val="22"/>
          <w:szCs w:val="22"/>
          <w:lang w:val="fr-FR"/>
        </w:rPr>
        <w:t xml:space="preserve"> </w:t>
      </w:r>
      <w:r w:rsidR="00684906" w:rsidRPr="00684906">
        <w:rPr>
          <w:rFonts w:ascii="Questa Sans" w:hAnsi="Questa Sans"/>
          <w:b/>
          <w:bCs/>
          <w:sz w:val="22"/>
          <w:szCs w:val="22"/>
          <w:lang w:val="fr-FR"/>
        </w:rPr>
        <w:t xml:space="preserve">À compter de maintenant, aucune demande basée sur le modèle de financement en grappe ou pour Bourse Accélération ne doit être entamée. </w:t>
      </w:r>
      <w:r w:rsidR="00EC23BD" w:rsidRPr="00EC23BD">
        <w:rPr>
          <w:rFonts w:ascii="Questa Sans" w:hAnsi="Questa Sans"/>
          <w:sz w:val="22"/>
          <w:szCs w:val="22"/>
          <w:lang w:val="fr-FR"/>
        </w:rPr>
        <w:t>Les demandes déjà soumises ou déjà approuvées au titre du modèle de financement en grappe ou du programme Bourse Accélération se poursuivront selon les conditions déjà approuvées et les critères standards de Mitacs.</w:t>
      </w:r>
    </w:p>
    <w:p w14:paraId="4AB61769" w14:textId="77777777" w:rsidR="00B767DF" w:rsidRPr="00EC23BD" w:rsidRDefault="00B767DF" w:rsidP="006438C8">
      <w:pPr>
        <w:spacing w:after="0"/>
        <w:jc w:val="both"/>
        <w:rPr>
          <w:rFonts w:ascii="Questa Sans" w:hAnsi="Questa Sans"/>
          <w:sz w:val="22"/>
          <w:szCs w:val="22"/>
          <w:lang w:val="fr-FR"/>
        </w:rPr>
      </w:pPr>
    </w:p>
    <w:p w14:paraId="25AA4393" w14:textId="77777777" w:rsidR="009C5ABA" w:rsidRPr="00EC23BD" w:rsidRDefault="009C5ABA" w:rsidP="007A6803">
      <w:pPr>
        <w:spacing w:after="0"/>
        <w:jc w:val="both"/>
        <w:rPr>
          <w:rFonts w:ascii="Questa Sans" w:hAnsi="Questa Sans"/>
          <w:sz w:val="22"/>
          <w:szCs w:val="22"/>
          <w:lang w:val="fr-FR"/>
        </w:rPr>
      </w:pPr>
    </w:p>
    <w:p w14:paraId="74B0E3C3" w14:textId="77777777" w:rsidR="000760C1" w:rsidRPr="00674522" w:rsidRDefault="000760C1" w:rsidP="007A6803">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fr-FR"/>
          <w14:ligatures w14:val="none"/>
        </w:rPr>
      </w:pPr>
      <w:r w:rsidRPr="00674522">
        <w:rPr>
          <w:rFonts w:ascii="Questa Sans" w:hAnsi="Questa Sans"/>
          <w:b/>
          <w:bCs/>
          <w:color w:val="0A2471"/>
          <w:kern w:val="0"/>
          <w:sz w:val="36"/>
          <w:szCs w:val="36"/>
          <w:lang w:val="fr-FR"/>
          <w14:ligatures w14:val="none"/>
        </w:rPr>
        <w:t>Mitacs Plus</w:t>
      </w:r>
    </w:p>
    <w:p w14:paraId="71F39648" w14:textId="77777777" w:rsidR="006E3C1E" w:rsidRPr="00674522" w:rsidRDefault="006E3C1E" w:rsidP="007A6803">
      <w:pPr>
        <w:spacing w:after="0"/>
        <w:jc w:val="both"/>
        <w:rPr>
          <w:rFonts w:ascii="Questa Sans" w:eastAsia="Segoe UI" w:hAnsi="Questa Sans" w:cs="Segoe UI"/>
          <w:sz w:val="22"/>
          <w:szCs w:val="22"/>
          <w:highlight w:val="yellow"/>
          <w:lang w:val="fr-FR"/>
        </w:rPr>
      </w:pPr>
    </w:p>
    <w:p w14:paraId="1CA913DD" w14:textId="77777777" w:rsidR="00F76901" w:rsidRPr="00F76901" w:rsidRDefault="00F76901" w:rsidP="00F76901">
      <w:pPr>
        <w:spacing w:after="0"/>
        <w:jc w:val="both"/>
        <w:rPr>
          <w:rFonts w:ascii="Questa Sans" w:hAnsi="Questa Sans"/>
          <w:sz w:val="22"/>
          <w:szCs w:val="22"/>
          <w:lang w:val="fr-FR"/>
        </w:rPr>
      </w:pPr>
      <w:r w:rsidRPr="00F76901">
        <w:rPr>
          <w:rFonts w:ascii="Questa Sans" w:hAnsi="Questa Sans"/>
          <w:sz w:val="22"/>
          <w:lang w:val="fr-FR"/>
        </w:rPr>
        <w:t>Mitacs se lance dans une transformation organisationnelle échelonnée sur plusieurs années dont les objectifs sont d’améliorer nos outils technologiques, nos processus et notre façon de travailler avec les parties prenantes. Cette initiative comprend le lancement d’un nouveau portail de demande : Mitacs Plus. Nous vous remercions de votre patience et de vos commentaires alors que nous continuons d’améliorer le processus de demande et de renforcer l’efficacité et la transparence de la gestion des subventions.</w:t>
      </w:r>
    </w:p>
    <w:p w14:paraId="1D6BD6A9" w14:textId="77777777" w:rsidR="00F76901" w:rsidRPr="00F76901" w:rsidRDefault="00F76901" w:rsidP="00F76901">
      <w:pPr>
        <w:spacing w:after="0"/>
        <w:jc w:val="both"/>
        <w:rPr>
          <w:rFonts w:ascii="Questa Sans" w:eastAsia="Segoe UI" w:hAnsi="Questa Sans" w:cs="Segoe UI"/>
          <w:sz w:val="22"/>
          <w:szCs w:val="22"/>
          <w:lang w:val="fr-FR"/>
        </w:rPr>
      </w:pPr>
    </w:p>
    <w:p w14:paraId="4D16CEE9" w14:textId="77777777" w:rsidR="00F76901" w:rsidRPr="00F76901" w:rsidRDefault="00F76901" w:rsidP="00F76901">
      <w:pPr>
        <w:spacing w:after="0"/>
        <w:jc w:val="both"/>
        <w:rPr>
          <w:rFonts w:ascii="Questa Sans" w:eastAsia="Segoe UI" w:hAnsi="Questa Sans" w:cs="Segoe UI"/>
          <w:sz w:val="22"/>
          <w:szCs w:val="22"/>
          <w:lang w:val="fr-FR"/>
        </w:rPr>
      </w:pPr>
      <w:r w:rsidRPr="00F76901">
        <w:rPr>
          <w:rFonts w:ascii="Questa Sans" w:hAnsi="Questa Sans"/>
          <w:sz w:val="22"/>
          <w:lang w:val="fr-FR"/>
        </w:rPr>
        <w:t xml:space="preserve">Durant cette phase de transition, nous gérons des processus concurrents de réception et de traitement des demandes pour le programme Accélération. Veuillez communiquer avec </w:t>
      </w:r>
      <w:hyperlink r:id="rId15" w:history="1">
        <w:r w:rsidRPr="00F76901">
          <w:rPr>
            <w:rStyle w:val="Hyperlink"/>
            <w:rFonts w:ascii="Questa Sans" w:hAnsi="Questa Sans"/>
            <w:sz w:val="22"/>
            <w:lang w:val="fr-FR"/>
          </w:rPr>
          <w:t>l’un de nos conseillers ou l’une de nos conseillères Mitacs</w:t>
        </w:r>
      </w:hyperlink>
      <w:r w:rsidRPr="00F76901">
        <w:rPr>
          <w:rFonts w:ascii="Questa Sans" w:hAnsi="Questa Sans"/>
          <w:sz w:val="22"/>
          <w:lang w:val="fr-FR"/>
        </w:rPr>
        <w:t xml:space="preserve"> pour savoir quelle plateforme de demande utiliser.</w:t>
      </w:r>
    </w:p>
    <w:p w14:paraId="0ED16B0E" w14:textId="77777777" w:rsidR="009C567B" w:rsidRPr="00F76901" w:rsidRDefault="009C567B" w:rsidP="006438C8">
      <w:pPr>
        <w:spacing w:after="0"/>
        <w:jc w:val="both"/>
        <w:rPr>
          <w:rFonts w:ascii="Questa Sans" w:hAnsi="Questa Sans"/>
          <w:sz w:val="22"/>
          <w:szCs w:val="22"/>
          <w:lang w:val="fr-FR"/>
        </w:rPr>
      </w:pPr>
    </w:p>
    <w:p w14:paraId="4F5EA994" w14:textId="77777777" w:rsidR="0073297B" w:rsidRDefault="0073297B" w:rsidP="006438C8">
      <w:pPr>
        <w:spacing w:after="0"/>
        <w:jc w:val="both"/>
        <w:rPr>
          <w:rFonts w:ascii="Questa Sans" w:eastAsiaTheme="majorEastAsia" w:hAnsi="Questa Sans" w:cstheme="majorBidi"/>
          <w:b/>
          <w:bCs/>
          <w:color w:val="0A2471"/>
          <w:kern w:val="0"/>
          <w:lang w:val="fr-FR"/>
          <w14:ligatures w14:val="none"/>
        </w:rPr>
      </w:pPr>
      <w:r w:rsidRPr="0073297B">
        <w:rPr>
          <w:rFonts w:ascii="Questa Sans" w:eastAsiaTheme="majorEastAsia" w:hAnsi="Questa Sans" w:cstheme="majorBidi"/>
          <w:b/>
          <w:bCs/>
          <w:color w:val="0A2471"/>
          <w:kern w:val="0"/>
          <w:lang w:val="fr-FR"/>
          <w14:ligatures w14:val="none"/>
        </w:rPr>
        <w:t xml:space="preserve">Qu’est-ce que Mitacs </w:t>
      </w:r>
      <w:proofErr w:type="gramStart"/>
      <w:r w:rsidRPr="0073297B">
        <w:rPr>
          <w:rFonts w:ascii="Questa Sans" w:eastAsiaTheme="majorEastAsia" w:hAnsi="Questa Sans" w:cstheme="majorBidi"/>
          <w:b/>
          <w:bCs/>
          <w:color w:val="0A2471"/>
          <w:kern w:val="0"/>
          <w:lang w:val="fr-FR"/>
          <w14:ligatures w14:val="none"/>
        </w:rPr>
        <w:t>Plus?</w:t>
      </w:r>
      <w:proofErr w:type="gramEnd"/>
    </w:p>
    <w:p w14:paraId="1983337C" w14:textId="050A14FA" w:rsidR="009C567B" w:rsidRPr="00C64A94" w:rsidRDefault="0073297B" w:rsidP="006438C8">
      <w:pPr>
        <w:spacing w:after="0"/>
        <w:jc w:val="both"/>
        <w:rPr>
          <w:rFonts w:ascii="Questa Sans" w:hAnsi="Questa Sans"/>
          <w:sz w:val="22"/>
          <w:szCs w:val="22"/>
          <w:lang w:val="fr-FR"/>
        </w:rPr>
      </w:pPr>
      <w:hyperlink r:id="rId16" w:history="1">
        <w:r w:rsidRPr="00750036">
          <w:rPr>
            <w:rStyle w:val="Hyperlink"/>
            <w:rFonts w:ascii="Questa Sans" w:hAnsi="Questa Sans"/>
            <w:sz w:val="22"/>
            <w:szCs w:val="22"/>
            <w:lang w:val="fr-FR"/>
          </w:rPr>
          <w:t>Découvrez Mitacs Plus — Notre nouveau portail de demande en libre-service</w:t>
        </w:r>
      </w:hyperlink>
    </w:p>
    <w:p w14:paraId="78A17250" w14:textId="77777777" w:rsidR="0073297B" w:rsidRDefault="0073297B" w:rsidP="006438C8">
      <w:pPr>
        <w:spacing w:after="0"/>
        <w:jc w:val="both"/>
        <w:rPr>
          <w:rFonts w:ascii="Questa Sans" w:eastAsia="Segoe UI" w:hAnsi="Questa Sans" w:cs="Segoe UI"/>
          <w:sz w:val="22"/>
          <w:szCs w:val="22"/>
          <w:lang w:val="fr-FR"/>
        </w:rPr>
      </w:pPr>
    </w:p>
    <w:p w14:paraId="73E45144" w14:textId="77777777" w:rsidR="00FD09E6" w:rsidRDefault="00FD09E6" w:rsidP="006438C8">
      <w:pPr>
        <w:spacing w:after="0"/>
        <w:jc w:val="both"/>
        <w:rPr>
          <w:rFonts w:ascii="Questa Sans" w:eastAsia="Segoe UI" w:hAnsi="Questa Sans" w:cs="Segoe UI"/>
          <w:sz w:val="22"/>
          <w:szCs w:val="22"/>
          <w:lang w:val="fr-FR"/>
        </w:rPr>
      </w:pPr>
    </w:p>
    <w:p w14:paraId="5DD0016D" w14:textId="77777777" w:rsidR="00FD09E6" w:rsidRPr="0073297B" w:rsidRDefault="00FD09E6" w:rsidP="006438C8">
      <w:pPr>
        <w:spacing w:after="0"/>
        <w:jc w:val="both"/>
        <w:rPr>
          <w:rFonts w:ascii="Questa Sans" w:eastAsia="Segoe UI" w:hAnsi="Questa Sans" w:cs="Segoe UI"/>
          <w:sz w:val="22"/>
          <w:szCs w:val="22"/>
          <w:lang w:val="fr-FR"/>
        </w:rPr>
      </w:pPr>
    </w:p>
    <w:p w14:paraId="0F8F0E1F" w14:textId="1FBC7400" w:rsidR="005F1BCA" w:rsidRPr="008B2F19" w:rsidRDefault="008B2F19" w:rsidP="006438C8">
      <w:pPr>
        <w:spacing w:after="0"/>
        <w:jc w:val="both"/>
        <w:rPr>
          <w:rFonts w:ascii="Questa Sans" w:eastAsiaTheme="majorEastAsia" w:hAnsi="Questa Sans" w:cstheme="majorBidi"/>
          <w:b/>
          <w:bCs/>
          <w:color w:val="0A2471"/>
          <w:kern w:val="0"/>
          <w:highlight w:val="yellow"/>
          <w:lang w:val="fr-FR"/>
          <w14:ligatures w14:val="none"/>
        </w:rPr>
      </w:pPr>
      <w:r w:rsidRPr="008B2F19">
        <w:rPr>
          <w:rFonts w:ascii="Questa Sans" w:hAnsi="Questa Sans"/>
          <w:b/>
          <w:color w:val="0A2471"/>
          <w:lang w:val="fr-FR"/>
        </w:rPr>
        <w:lastRenderedPageBreak/>
        <w:t>Caractéristiques et améliorations récentes de Mitacs Plus</w:t>
      </w:r>
    </w:p>
    <w:p w14:paraId="0FE8A34C" w14:textId="77777777" w:rsidR="008F15F3" w:rsidRPr="008B2F19" w:rsidRDefault="008F15F3" w:rsidP="006438C8">
      <w:pPr>
        <w:spacing w:after="0"/>
        <w:jc w:val="both"/>
        <w:rPr>
          <w:rFonts w:ascii="Questa Sans" w:eastAsiaTheme="majorEastAsia" w:hAnsi="Questa Sans" w:cstheme="majorBidi"/>
          <w:b/>
          <w:bCs/>
          <w:color w:val="0A2471"/>
          <w:kern w:val="0"/>
          <w:highlight w:val="yellow"/>
          <w:lang w:val="fr-FR"/>
          <w14:ligatures w14:val="none"/>
        </w:rPr>
      </w:pPr>
    </w:p>
    <w:p w14:paraId="76C29F3B" w14:textId="77777777" w:rsidR="00681A98" w:rsidRPr="00A55538" w:rsidRDefault="00681A98" w:rsidP="00681A98">
      <w:pPr>
        <w:pStyle w:val="ListParagraph"/>
        <w:numPr>
          <w:ilvl w:val="0"/>
          <w:numId w:val="16"/>
        </w:numPr>
        <w:jc w:val="both"/>
        <w:rPr>
          <w:rFonts w:ascii="Questa Sans" w:hAnsi="Questa Sans"/>
          <w:sz w:val="22"/>
          <w:szCs w:val="22"/>
          <w:lang w:val="fr-FR"/>
        </w:rPr>
      </w:pPr>
      <w:r w:rsidRPr="00681A98">
        <w:rPr>
          <w:rFonts w:ascii="Questa Sans" w:hAnsi="Questa Sans"/>
          <w:sz w:val="22"/>
          <w:lang w:val="fr-FR"/>
        </w:rPr>
        <w:t xml:space="preserve">Le portail de demande est entièrement bilingue. </w:t>
      </w:r>
      <w:r w:rsidRPr="00A55538">
        <w:rPr>
          <w:rFonts w:ascii="Questa Sans" w:hAnsi="Questa Sans"/>
          <w:sz w:val="22"/>
          <w:lang w:val="fr-FR"/>
        </w:rPr>
        <w:t>Chaque utilisateur et utilisatrice peut accéder au portail dans la langue de son choix : français ou anglais.</w:t>
      </w:r>
    </w:p>
    <w:p w14:paraId="23638FA0" w14:textId="77777777" w:rsidR="00681A98" w:rsidRPr="00A55538" w:rsidRDefault="00681A98" w:rsidP="00681A98">
      <w:pPr>
        <w:pStyle w:val="ListParagraph"/>
        <w:numPr>
          <w:ilvl w:val="0"/>
          <w:numId w:val="16"/>
        </w:numPr>
        <w:jc w:val="both"/>
        <w:rPr>
          <w:rFonts w:ascii="Questa Sans" w:hAnsi="Questa Sans"/>
          <w:sz w:val="22"/>
          <w:szCs w:val="22"/>
          <w:lang w:val="fr-FR"/>
        </w:rPr>
      </w:pPr>
      <w:r w:rsidRPr="00A55538">
        <w:rPr>
          <w:rFonts w:ascii="Questa Sans" w:hAnsi="Questa Sans"/>
          <w:sz w:val="22"/>
          <w:lang w:val="fr-FR"/>
        </w:rPr>
        <w:t>Les projets peuvent inclure des unités de stage de 4 ou 6 mois.</w:t>
      </w:r>
    </w:p>
    <w:p w14:paraId="3D89A3E6" w14:textId="77777777" w:rsidR="00681A98" w:rsidRPr="00A55538" w:rsidRDefault="00681A98" w:rsidP="00681A98">
      <w:pPr>
        <w:pStyle w:val="ListParagraph"/>
        <w:numPr>
          <w:ilvl w:val="0"/>
          <w:numId w:val="16"/>
        </w:numPr>
        <w:jc w:val="both"/>
        <w:rPr>
          <w:rFonts w:ascii="Questa Sans" w:hAnsi="Questa Sans"/>
          <w:sz w:val="22"/>
          <w:szCs w:val="22"/>
          <w:lang w:val="fr-FR"/>
        </w:rPr>
      </w:pPr>
      <w:r w:rsidRPr="00A55538">
        <w:rPr>
          <w:rFonts w:ascii="Questa Sans" w:hAnsi="Questa Sans"/>
          <w:sz w:val="22"/>
          <w:lang w:val="fr-FR"/>
        </w:rPr>
        <w:t>Les détails de la facturation sont désormais au niveau du projet.</w:t>
      </w:r>
    </w:p>
    <w:p w14:paraId="64617FED" w14:textId="72ACF839" w:rsidR="00681A98" w:rsidRPr="00A55538" w:rsidRDefault="00D22A1C" w:rsidP="00681A98">
      <w:pPr>
        <w:pStyle w:val="ListParagraph"/>
        <w:numPr>
          <w:ilvl w:val="0"/>
          <w:numId w:val="16"/>
        </w:numPr>
        <w:jc w:val="both"/>
        <w:rPr>
          <w:rFonts w:ascii="Questa Sans" w:hAnsi="Questa Sans"/>
          <w:sz w:val="22"/>
          <w:szCs w:val="22"/>
          <w:lang w:val="fr-FR"/>
        </w:rPr>
      </w:pPr>
      <w:r>
        <w:rPr>
          <w:rFonts w:ascii="Questa Sans" w:hAnsi="Questa Sans"/>
          <w:sz w:val="22"/>
          <w:lang w:val="fr-FR"/>
        </w:rPr>
        <w:t>Le mois prochain</w:t>
      </w:r>
      <w:r w:rsidR="00681A98" w:rsidRPr="00A55538">
        <w:rPr>
          <w:rFonts w:ascii="Questa Sans" w:hAnsi="Questa Sans"/>
          <w:sz w:val="22"/>
          <w:lang w:val="fr-FR"/>
        </w:rPr>
        <w:t> :</w:t>
      </w:r>
    </w:p>
    <w:p w14:paraId="0B758AFB" w14:textId="77777777" w:rsidR="00681A98" w:rsidRPr="00A55538" w:rsidRDefault="00681A98" w:rsidP="00681A98">
      <w:pPr>
        <w:pStyle w:val="ListParagraph"/>
        <w:numPr>
          <w:ilvl w:val="1"/>
          <w:numId w:val="16"/>
        </w:numPr>
        <w:jc w:val="both"/>
        <w:rPr>
          <w:rFonts w:ascii="Questa Sans" w:hAnsi="Questa Sans"/>
          <w:sz w:val="22"/>
          <w:szCs w:val="22"/>
          <w:lang w:val="fr-FR"/>
        </w:rPr>
      </w:pPr>
      <w:r w:rsidRPr="00A55538">
        <w:rPr>
          <w:rFonts w:ascii="Questa Sans" w:hAnsi="Questa Sans"/>
          <w:sz w:val="22"/>
          <w:lang w:val="fr-FR"/>
        </w:rPr>
        <w:t xml:space="preserve">Plusieurs </w:t>
      </w:r>
      <w:proofErr w:type="spellStart"/>
      <w:r w:rsidRPr="00A55538">
        <w:rPr>
          <w:rFonts w:ascii="Questa Sans" w:hAnsi="Questa Sans"/>
          <w:sz w:val="22"/>
          <w:lang w:val="fr-FR"/>
        </w:rPr>
        <w:t>professeur·es</w:t>
      </w:r>
      <w:proofErr w:type="spellEnd"/>
      <w:r w:rsidRPr="00A55538">
        <w:rPr>
          <w:rFonts w:ascii="Questa Sans" w:hAnsi="Questa Sans"/>
          <w:sz w:val="22"/>
          <w:lang w:val="fr-FR"/>
        </w:rPr>
        <w:t xml:space="preserve"> </w:t>
      </w:r>
      <w:proofErr w:type="spellStart"/>
      <w:r w:rsidRPr="00A55538">
        <w:rPr>
          <w:rFonts w:ascii="Questa Sans" w:hAnsi="Questa Sans"/>
          <w:sz w:val="22"/>
          <w:lang w:val="fr-FR"/>
        </w:rPr>
        <w:t>superviseur·es</w:t>
      </w:r>
      <w:proofErr w:type="spellEnd"/>
      <w:r w:rsidRPr="00A55538">
        <w:rPr>
          <w:rFonts w:ascii="Questa Sans" w:hAnsi="Questa Sans"/>
          <w:sz w:val="22"/>
          <w:lang w:val="fr-FR"/>
        </w:rPr>
        <w:t xml:space="preserve"> pourront être </w:t>
      </w:r>
      <w:proofErr w:type="spellStart"/>
      <w:r w:rsidRPr="00A55538">
        <w:rPr>
          <w:rFonts w:ascii="Questa Sans" w:hAnsi="Questa Sans"/>
          <w:sz w:val="22"/>
          <w:lang w:val="fr-FR"/>
        </w:rPr>
        <w:t>ajouté·es</w:t>
      </w:r>
      <w:proofErr w:type="spellEnd"/>
      <w:r w:rsidRPr="00A55538">
        <w:rPr>
          <w:rFonts w:ascii="Questa Sans" w:hAnsi="Questa Sans"/>
          <w:sz w:val="22"/>
          <w:lang w:val="fr-FR"/>
        </w:rPr>
        <w:t xml:space="preserve"> aux demandes.</w:t>
      </w:r>
    </w:p>
    <w:p w14:paraId="37617788" w14:textId="77777777" w:rsidR="00681A98" w:rsidRPr="00A55538" w:rsidRDefault="00681A98" w:rsidP="00681A98">
      <w:pPr>
        <w:pStyle w:val="ListParagraph"/>
        <w:numPr>
          <w:ilvl w:val="1"/>
          <w:numId w:val="16"/>
        </w:numPr>
        <w:spacing w:after="0"/>
        <w:jc w:val="both"/>
        <w:rPr>
          <w:rFonts w:ascii="Questa Sans" w:hAnsi="Questa Sans"/>
          <w:sz w:val="22"/>
          <w:szCs w:val="22"/>
          <w:lang w:val="fr-FR"/>
        </w:rPr>
      </w:pPr>
      <w:r w:rsidRPr="00A55538">
        <w:rPr>
          <w:rFonts w:ascii="Questa Sans" w:hAnsi="Questa Sans"/>
          <w:sz w:val="22"/>
          <w:lang w:val="fr-FR"/>
        </w:rPr>
        <w:t>Les changements de date de début pourront être demandés directement sur le portail.</w:t>
      </w:r>
    </w:p>
    <w:p w14:paraId="313366A9" w14:textId="77777777" w:rsidR="00681A98" w:rsidRPr="00E55B11" w:rsidRDefault="00681A98" w:rsidP="00681A98">
      <w:pPr>
        <w:spacing w:after="0"/>
        <w:jc w:val="both"/>
        <w:rPr>
          <w:rFonts w:ascii="Questa Sans" w:eastAsiaTheme="majorEastAsia" w:hAnsi="Questa Sans" w:cstheme="majorBidi"/>
          <w:b/>
          <w:bCs/>
          <w:color w:val="0A2471"/>
          <w:kern w:val="0"/>
          <w:lang w:val="fr-FR"/>
          <w14:ligatures w14:val="none"/>
        </w:rPr>
      </w:pPr>
    </w:p>
    <w:p w14:paraId="1BF63B76" w14:textId="40709EB6" w:rsidR="00681A98" w:rsidRPr="00A55538" w:rsidRDefault="00681A98" w:rsidP="00681A98">
      <w:pPr>
        <w:spacing w:after="0"/>
        <w:jc w:val="both"/>
        <w:rPr>
          <w:rFonts w:ascii="Questa Sans" w:eastAsiaTheme="majorEastAsia" w:hAnsi="Questa Sans" w:cstheme="majorBidi"/>
          <w:b/>
          <w:bCs/>
          <w:color w:val="0A2471"/>
          <w:kern w:val="0"/>
          <w:lang w:val="fr-FR"/>
          <w14:ligatures w14:val="none"/>
        </w:rPr>
      </w:pPr>
      <w:r w:rsidRPr="00A55538">
        <w:rPr>
          <w:rFonts w:ascii="Questa Sans" w:hAnsi="Questa Sans"/>
          <w:b/>
          <w:color w:val="0A2471"/>
          <w:lang w:val="fr-FR"/>
        </w:rPr>
        <w:t>À venir dans le prochain trimestre pour Mitacs Plus </w:t>
      </w:r>
    </w:p>
    <w:p w14:paraId="5053DE14" w14:textId="77777777" w:rsidR="00681A98" w:rsidRPr="00E55B11" w:rsidRDefault="00681A98" w:rsidP="00681A98">
      <w:pPr>
        <w:spacing w:after="0"/>
        <w:jc w:val="both"/>
        <w:rPr>
          <w:rFonts w:ascii="Questa Sans" w:eastAsiaTheme="majorEastAsia" w:hAnsi="Questa Sans" w:cstheme="majorBidi"/>
          <w:b/>
          <w:bCs/>
          <w:color w:val="0A2471"/>
          <w:kern w:val="0"/>
          <w:lang w:val="fr-FR"/>
          <w14:ligatures w14:val="none"/>
        </w:rPr>
      </w:pPr>
    </w:p>
    <w:p w14:paraId="3C7B98A8" w14:textId="77777777" w:rsidR="00681A98" w:rsidRPr="00A55538" w:rsidRDefault="00681A98" w:rsidP="00681A98">
      <w:pPr>
        <w:spacing w:after="0"/>
        <w:jc w:val="both"/>
        <w:rPr>
          <w:rFonts w:ascii="Questa Sans" w:hAnsi="Questa Sans"/>
          <w:sz w:val="22"/>
          <w:szCs w:val="22"/>
          <w:lang w:val="fr-FR"/>
        </w:rPr>
      </w:pPr>
      <w:r w:rsidRPr="00A55538">
        <w:rPr>
          <w:rFonts w:ascii="Questa Sans" w:hAnsi="Questa Sans"/>
          <w:sz w:val="22"/>
          <w:lang w:val="fr-FR"/>
        </w:rPr>
        <w:t xml:space="preserve">Accès de lecture seulement (sans signature) pour </w:t>
      </w:r>
      <w:proofErr w:type="gramStart"/>
      <w:r w:rsidRPr="00A55538">
        <w:rPr>
          <w:rFonts w:ascii="Questa Sans" w:hAnsi="Questa Sans"/>
          <w:sz w:val="22"/>
          <w:lang w:val="fr-FR"/>
        </w:rPr>
        <w:t xml:space="preserve">les </w:t>
      </w:r>
      <w:proofErr w:type="spellStart"/>
      <w:r w:rsidRPr="00A55538">
        <w:rPr>
          <w:rFonts w:ascii="Questa Sans" w:hAnsi="Questa Sans"/>
          <w:sz w:val="22"/>
          <w:lang w:val="fr-FR"/>
        </w:rPr>
        <w:t>représentant</w:t>
      </w:r>
      <w:proofErr w:type="gramEnd"/>
      <w:r w:rsidRPr="00A55538">
        <w:rPr>
          <w:rFonts w:ascii="Questa Sans" w:hAnsi="Questa Sans"/>
          <w:sz w:val="22"/>
          <w:lang w:val="fr-FR"/>
        </w:rPr>
        <w:t>·es</w:t>
      </w:r>
      <w:proofErr w:type="spellEnd"/>
      <w:r w:rsidRPr="00A55538">
        <w:rPr>
          <w:rFonts w:ascii="Questa Sans" w:hAnsi="Questa Sans"/>
          <w:sz w:val="22"/>
          <w:lang w:val="fr-FR"/>
        </w:rPr>
        <w:t xml:space="preserve"> du BSR qui ont besoin d’accéder aux demandes et aux avis d’octroi. Nous communiquerons avec vous durant le prochain trimestre pour confirmer si des personnes-ressources nouvelles ou existantes du BSR devraient avoir cet accès en lecture seule.</w:t>
      </w:r>
    </w:p>
    <w:p w14:paraId="6C9C3461" w14:textId="77777777" w:rsidR="00681A98" w:rsidRPr="00A55538" w:rsidRDefault="00681A98" w:rsidP="00681A98">
      <w:pPr>
        <w:spacing w:after="0"/>
        <w:jc w:val="both"/>
        <w:rPr>
          <w:rFonts w:ascii="Questa Sans" w:hAnsi="Questa Sans"/>
          <w:sz w:val="22"/>
          <w:szCs w:val="22"/>
          <w:lang w:val="fr-FR"/>
        </w:rPr>
      </w:pPr>
    </w:p>
    <w:p w14:paraId="3F9254CA" w14:textId="77777777" w:rsidR="00681A98" w:rsidRPr="00A55538" w:rsidRDefault="00681A98" w:rsidP="00681A98">
      <w:pPr>
        <w:spacing w:after="0"/>
        <w:jc w:val="both"/>
        <w:rPr>
          <w:rFonts w:ascii="Questa Sans" w:eastAsiaTheme="majorEastAsia" w:hAnsi="Questa Sans" w:cstheme="majorBidi"/>
          <w:b/>
          <w:bCs/>
          <w:color w:val="0A2471"/>
          <w:kern w:val="0"/>
          <w:lang w:val="fr-FR"/>
          <w14:ligatures w14:val="none"/>
        </w:rPr>
      </w:pPr>
      <w:r w:rsidRPr="00A55538">
        <w:rPr>
          <w:rFonts w:ascii="Questa Sans" w:hAnsi="Questa Sans"/>
          <w:b/>
          <w:color w:val="0A2471"/>
          <w:lang w:val="fr-FR"/>
        </w:rPr>
        <w:t xml:space="preserve">Avez-vous des questions ou des </w:t>
      </w:r>
      <w:proofErr w:type="gramStart"/>
      <w:r w:rsidRPr="00A55538">
        <w:rPr>
          <w:rFonts w:ascii="Questa Sans" w:hAnsi="Questa Sans"/>
          <w:b/>
          <w:color w:val="0A2471"/>
          <w:lang w:val="fr-FR"/>
        </w:rPr>
        <w:t>commentaires?</w:t>
      </w:r>
      <w:proofErr w:type="gramEnd"/>
    </w:p>
    <w:p w14:paraId="6BCBA46B" w14:textId="77777777" w:rsidR="00681A98" w:rsidRPr="00E55B11" w:rsidRDefault="00681A98" w:rsidP="00681A98">
      <w:pPr>
        <w:spacing w:after="0"/>
        <w:jc w:val="both"/>
        <w:rPr>
          <w:rFonts w:ascii="Questa Sans" w:eastAsiaTheme="majorEastAsia" w:hAnsi="Questa Sans" w:cstheme="majorBidi"/>
          <w:b/>
          <w:bCs/>
          <w:color w:val="0A2471"/>
          <w:kern w:val="0"/>
          <w:lang w:val="fr-FR"/>
          <w14:ligatures w14:val="none"/>
        </w:rPr>
      </w:pPr>
    </w:p>
    <w:p w14:paraId="7E6F914E" w14:textId="77777777" w:rsidR="00681A98" w:rsidRPr="00A55538" w:rsidRDefault="00681A98" w:rsidP="00681A98">
      <w:pPr>
        <w:jc w:val="both"/>
        <w:rPr>
          <w:rFonts w:ascii="Questa Sans" w:hAnsi="Questa Sans"/>
          <w:sz w:val="22"/>
          <w:szCs w:val="22"/>
          <w:lang w:val="fr-FR"/>
        </w:rPr>
      </w:pPr>
      <w:r w:rsidRPr="00A55538">
        <w:rPr>
          <w:rFonts w:ascii="Questa Sans" w:hAnsi="Questa Sans"/>
          <w:sz w:val="22"/>
          <w:lang w:val="fr-FR"/>
        </w:rPr>
        <w:t xml:space="preserve">En réponse aux commentaires des utilisateurs et utilisatrices, des améliorations sont mises en </w:t>
      </w:r>
      <w:proofErr w:type="spellStart"/>
      <w:r w:rsidRPr="00A55538">
        <w:rPr>
          <w:rFonts w:ascii="Questa Sans" w:hAnsi="Questa Sans"/>
          <w:sz w:val="22"/>
          <w:lang w:val="fr-FR"/>
        </w:rPr>
        <w:t>oeuvre</w:t>
      </w:r>
      <w:proofErr w:type="spellEnd"/>
      <w:r w:rsidRPr="00A55538">
        <w:rPr>
          <w:rFonts w:ascii="Questa Sans" w:hAnsi="Questa Sans"/>
          <w:sz w:val="22"/>
          <w:lang w:val="fr-FR"/>
        </w:rPr>
        <w:t xml:space="preserve"> chaque trimestre pour accroître les capacités du portail. Les commentaires et les questions peuvent être envoyés à </w:t>
      </w:r>
      <w:hyperlink r:id="rId17" w:tgtFrame="_blank" w:history="1">
        <w:r w:rsidRPr="00A55538">
          <w:rPr>
            <w:rStyle w:val="Hyperlink"/>
            <w:rFonts w:ascii="Questa Sans" w:hAnsi="Questa Sans"/>
            <w:b/>
            <w:sz w:val="22"/>
            <w:lang w:val="fr-FR"/>
          </w:rPr>
          <w:t>experience@mitacs.ca</w:t>
        </w:r>
      </w:hyperlink>
      <w:r w:rsidRPr="00A55538">
        <w:rPr>
          <w:rFonts w:ascii="Questa Sans" w:hAnsi="Questa Sans"/>
          <w:sz w:val="22"/>
          <w:lang w:val="fr-FR"/>
        </w:rPr>
        <w:t xml:space="preserve">. Notre équipe </w:t>
      </w:r>
      <w:r w:rsidRPr="00A55538">
        <w:rPr>
          <w:rFonts w:ascii="Questa Sans" w:hAnsi="Questa Sans"/>
          <w:b/>
          <w:sz w:val="22"/>
          <w:lang w:val="fr-FR"/>
        </w:rPr>
        <w:t>Service et soutien à la clientèle</w:t>
      </w:r>
      <w:r w:rsidRPr="00A55538">
        <w:rPr>
          <w:rFonts w:ascii="Questa Sans" w:hAnsi="Questa Sans"/>
          <w:sz w:val="22"/>
          <w:lang w:val="fr-FR"/>
        </w:rPr>
        <w:t xml:space="preserve"> est prête à vous aider à chaque étape.</w:t>
      </w:r>
    </w:p>
    <w:p w14:paraId="1EC30C35" w14:textId="77777777" w:rsidR="00685EAA" w:rsidRPr="00A55538" w:rsidRDefault="00685EAA" w:rsidP="007A6803">
      <w:pPr>
        <w:pStyle w:val="ListParagraph"/>
        <w:jc w:val="both"/>
        <w:rPr>
          <w:rFonts w:ascii="Questa Sans" w:hAnsi="Questa Sans"/>
          <w:sz w:val="22"/>
          <w:szCs w:val="22"/>
          <w:lang w:val="fr-FR"/>
        </w:rPr>
      </w:pPr>
    </w:p>
    <w:p w14:paraId="1C7D4B73" w14:textId="77777777" w:rsidR="00351CE6" w:rsidRPr="00B171DF" w:rsidRDefault="00351CE6" w:rsidP="00351CE6">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fr-FR"/>
          <w14:ligatures w14:val="none"/>
        </w:rPr>
      </w:pPr>
      <w:r w:rsidRPr="00B171DF">
        <w:rPr>
          <w:rFonts w:ascii="Questa Sans" w:hAnsi="Questa Sans"/>
          <w:b/>
          <w:color w:val="0A2471"/>
          <w:sz w:val="36"/>
          <w:lang w:val="fr-FR"/>
        </w:rPr>
        <w:t>Coin de la conformité</w:t>
      </w:r>
    </w:p>
    <w:p w14:paraId="494F6623" w14:textId="77777777" w:rsidR="00C5557F" w:rsidRPr="00B171DF" w:rsidRDefault="00C5557F" w:rsidP="00C5557F">
      <w:pPr>
        <w:spacing w:after="0"/>
        <w:jc w:val="both"/>
        <w:rPr>
          <w:rFonts w:ascii="Questa Sans" w:eastAsiaTheme="majorEastAsia" w:hAnsi="Questa Sans" w:cstheme="majorBidi"/>
          <w:b/>
          <w:bCs/>
          <w:color w:val="0A2471"/>
          <w:kern w:val="0"/>
          <w:highlight w:val="yellow"/>
          <w:lang w:val="fr-FR"/>
          <w14:ligatures w14:val="none"/>
        </w:rPr>
      </w:pPr>
    </w:p>
    <w:p w14:paraId="7B8BDC2B" w14:textId="17CD9A01" w:rsidR="00B171DF" w:rsidRPr="00B171DF" w:rsidRDefault="00B171DF" w:rsidP="00B171DF">
      <w:pPr>
        <w:spacing w:after="0"/>
        <w:jc w:val="both"/>
        <w:rPr>
          <w:rFonts w:ascii="Questa Sans" w:eastAsiaTheme="majorEastAsia" w:hAnsi="Questa Sans" w:cstheme="majorBidi"/>
          <w:b/>
          <w:bCs/>
          <w:color w:val="0A2471"/>
          <w:kern w:val="0"/>
          <w:lang w:val="fr-FR"/>
          <w14:ligatures w14:val="none"/>
        </w:rPr>
      </w:pPr>
      <w:r w:rsidRPr="00B171DF">
        <w:rPr>
          <w:rFonts w:ascii="Questa Sans" w:hAnsi="Questa Sans"/>
          <w:b/>
          <w:color w:val="0A2471"/>
          <w:lang w:val="fr-FR"/>
        </w:rPr>
        <w:t>Modalités de la subvention de Mitacs</w:t>
      </w:r>
    </w:p>
    <w:p w14:paraId="3F8A53B5" w14:textId="77777777" w:rsidR="00B171DF" w:rsidRPr="00E55B11" w:rsidRDefault="00B171DF" w:rsidP="00B171DF">
      <w:pPr>
        <w:spacing w:after="0"/>
        <w:jc w:val="both"/>
        <w:rPr>
          <w:rFonts w:ascii="Questa Sans" w:eastAsiaTheme="majorEastAsia" w:hAnsi="Questa Sans" w:cstheme="majorBidi"/>
          <w:b/>
          <w:bCs/>
          <w:color w:val="0A2471"/>
          <w:kern w:val="0"/>
          <w:lang w:val="fr-FR"/>
          <w14:ligatures w14:val="none"/>
        </w:rPr>
      </w:pPr>
    </w:p>
    <w:p w14:paraId="38BA2AC9" w14:textId="77777777" w:rsidR="00B171DF" w:rsidRPr="00B171DF" w:rsidRDefault="00B171DF" w:rsidP="00B171DF">
      <w:pPr>
        <w:spacing w:after="0"/>
        <w:jc w:val="both"/>
        <w:rPr>
          <w:rFonts w:ascii="Questa Sans" w:hAnsi="Questa Sans"/>
          <w:sz w:val="22"/>
          <w:szCs w:val="22"/>
          <w:lang w:val="fr-FR"/>
        </w:rPr>
      </w:pPr>
      <w:r w:rsidRPr="00B171DF">
        <w:rPr>
          <w:rFonts w:ascii="Questa Sans" w:hAnsi="Questa Sans"/>
          <w:sz w:val="22"/>
          <w:lang w:val="fr-FR"/>
        </w:rPr>
        <w:t>Les fonds doivent être octroyés selon la ou les périodes de stage, les montants prévus pour les allocations ou les salaires, et les montants prévus pour le matériel et les dépenses de recherche, comme indiqué dans l’avis d’octroi.</w:t>
      </w:r>
    </w:p>
    <w:p w14:paraId="5908274D" w14:textId="77777777" w:rsidR="00B171DF" w:rsidRPr="00B171DF" w:rsidRDefault="00B171DF" w:rsidP="00B171DF">
      <w:pPr>
        <w:spacing w:after="0"/>
        <w:jc w:val="both"/>
        <w:rPr>
          <w:rFonts w:ascii="Questa Sans" w:hAnsi="Questa Sans"/>
          <w:sz w:val="22"/>
          <w:szCs w:val="22"/>
          <w:lang w:val="fr-FR"/>
        </w:rPr>
      </w:pPr>
    </w:p>
    <w:p w14:paraId="28D89D59" w14:textId="77777777" w:rsidR="00B171DF" w:rsidRPr="00986440" w:rsidRDefault="00B171DF" w:rsidP="00B171DF">
      <w:pPr>
        <w:spacing w:after="0"/>
        <w:jc w:val="both"/>
        <w:rPr>
          <w:rFonts w:ascii="Questa Sans" w:hAnsi="Questa Sans"/>
          <w:sz w:val="22"/>
          <w:szCs w:val="22"/>
          <w:lang w:val="fr-FR"/>
        </w:rPr>
      </w:pPr>
      <w:r w:rsidRPr="00986440">
        <w:rPr>
          <w:rFonts w:ascii="Questa Sans" w:hAnsi="Questa Sans"/>
          <w:sz w:val="22"/>
          <w:lang w:val="fr-FR"/>
        </w:rPr>
        <w:t xml:space="preserve">Pour Accélération et Stage de stratégie d’entreprise : Tout versement subséquent est sujet à changement et sera débloqué uniquement après la réception par Mitacs du paiement du partenaire et la confirmation de l’admissibilité de la personne stagiaire. </w:t>
      </w:r>
    </w:p>
    <w:p w14:paraId="77D87CF9" w14:textId="383F0801" w:rsidR="00B171DF" w:rsidRPr="00986440" w:rsidRDefault="00B171DF" w:rsidP="00B171DF">
      <w:pPr>
        <w:spacing w:after="0"/>
        <w:jc w:val="both"/>
        <w:rPr>
          <w:rFonts w:ascii="Questa Sans" w:eastAsiaTheme="majorEastAsia" w:hAnsi="Questa Sans" w:cstheme="majorBidi"/>
          <w:b/>
          <w:bCs/>
          <w:color w:val="0A2471"/>
          <w:kern w:val="0"/>
          <w:lang w:val="fr-FR"/>
          <w14:ligatures w14:val="none"/>
        </w:rPr>
      </w:pPr>
      <w:r w:rsidRPr="00986440">
        <w:rPr>
          <w:rFonts w:ascii="Questa Sans" w:hAnsi="Questa Sans"/>
          <w:b/>
          <w:color w:val="0A2471"/>
          <w:lang w:val="fr-FR"/>
        </w:rPr>
        <w:lastRenderedPageBreak/>
        <w:t>Quand aviser Mitacs ou demander une approbation (les demandes rétroactives pourraient ne pas être admissibles)</w:t>
      </w:r>
    </w:p>
    <w:p w14:paraId="473F4D00" w14:textId="77777777" w:rsidR="00B171DF" w:rsidRPr="00E55B11" w:rsidRDefault="00B171DF" w:rsidP="00B171DF">
      <w:pPr>
        <w:spacing w:after="0"/>
        <w:jc w:val="both"/>
        <w:rPr>
          <w:rFonts w:ascii="Questa Sans" w:eastAsiaTheme="majorEastAsia" w:hAnsi="Questa Sans" w:cstheme="majorBidi"/>
          <w:b/>
          <w:bCs/>
          <w:color w:val="0A2471"/>
          <w:kern w:val="0"/>
          <w:lang w:val="fr-FR"/>
          <w14:ligatures w14:val="none"/>
        </w:rPr>
      </w:pPr>
    </w:p>
    <w:p w14:paraId="6279CC3E" w14:textId="77777777" w:rsidR="00B171DF" w:rsidRPr="007C4060" w:rsidRDefault="00B171DF" w:rsidP="00B171DF">
      <w:pPr>
        <w:pStyle w:val="ListParagraph"/>
        <w:numPr>
          <w:ilvl w:val="0"/>
          <w:numId w:val="3"/>
        </w:numPr>
        <w:jc w:val="both"/>
        <w:rPr>
          <w:rFonts w:ascii="Questa Sans" w:hAnsi="Questa Sans"/>
          <w:sz w:val="22"/>
          <w:szCs w:val="22"/>
        </w:rPr>
      </w:pPr>
      <w:r>
        <w:rPr>
          <w:rFonts w:ascii="Questa Sans" w:hAnsi="Questa Sans"/>
          <w:sz w:val="22"/>
        </w:rPr>
        <w:t>Changement de stagiaire</w:t>
      </w:r>
    </w:p>
    <w:p w14:paraId="759D5F28" w14:textId="77777777" w:rsidR="00B171DF" w:rsidRPr="007C4060" w:rsidRDefault="00B171DF" w:rsidP="00B171DF">
      <w:pPr>
        <w:pStyle w:val="ListParagraph"/>
        <w:numPr>
          <w:ilvl w:val="0"/>
          <w:numId w:val="3"/>
        </w:numPr>
        <w:jc w:val="both"/>
        <w:rPr>
          <w:rFonts w:ascii="Questa Sans" w:hAnsi="Questa Sans"/>
          <w:sz w:val="22"/>
          <w:szCs w:val="22"/>
        </w:rPr>
      </w:pPr>
      <w:r>
        <w:rPr>
          <w:rFonts w:ascii="Questa Sans" w:hAnsi="Questa Sans"/>
          <w:sz w:val="22"/>
        </w:rPr>
        <w:t>Changement de date de début</w:t>
      </w:r>
    </w:p>
    <w:p w14:paraId="31586C4E" w14:textId="77777777" w:rsidR="00B171DF" w:rsidRPr="007C4060" w:rsidRDefault="00B171DF" w:rsidP="00B171DF">
      <w:pPr>
        <w:pStyle w:val="ListParagraph"/>
        <w:numPr>
          <w:ilvl w:val="0"/>
          <w:numId w:val="3"/>
        </w:numPr>
        <w:jc w:val="both"/>
        <w:rPr>
          <w:rFonts w:ascii="Questa Sans" w:hAnsi="Questa Sans"/>
          <w:sz w:val="22"/>
          <w:szCs w:val="22"/>
        </w:rPr>
      </w:pPr>
      <w:r>
        <w:rPr>
          <w:rFonts w:ascii="Questa Sans" w:hAnsi="Questa Sans"/>
          <w:sz w:val="22"/>
        </w:rPr>
        <w:t xml:space="preserve">Fin </w:t>
      </w:r>
      <w:proofErr w:type="spellStart"/>
      <w:r>
        <w:rPr>
          <w:rFonts w:ascii="Questa Sans" w:hAnsi="Questa Sans"/>
          <w:sz w:val="22"/>
        </w:rPr>
        <w:t>précoce</w:t>
      </w:r>
      <w:proofErr w:type="spellEnd"/>
      <w:r>
        <w:rPr>
          <w:rFonts w:ascii="Questa Sans" w:hAnsi="Questa Sans"/>
          <w:sz w:val="22"/>
        </w:rPr>
        <w:t xml:space="preserve"> du stage</w:t>
      </w:r>
    </w:p>
    <w:p w14:paraId="283FC008" w14:textId="77777777" w:rsidR="00B171DF" w:rsidRPr="007C4060" w:rsidRDefault="00B171DF" w:rsidP="00B171DF">
      <w:pPr>
        <w:pStyle w:val="ListParagraph"/>
        <w:numPr>
          <w:ilvl w:val="0"/>
          <w:numId w:val="3"/>
        </w:numPr>
        <w:jc w:val="both"/>
        <w:rPr>
          <w:rFonts w:ascii="Questa Sans" w:hAnsi="Questa Sans"/>
          <w:sz w:val="22"/>
          <w:szCs w:val="22"/>
        </w:rPr>
      </w:pPr>
      <w:proofErr w:type="spellStart"/>
      <w:r>
        <w:rPr>
          <w:rFonts w:ascii="Questa Sans" w:hAnsi="Questa Sans"/>
          <w:sz w:val="22"/>
        </w:rPr>
        <w:t>Baisse</w:t>
      </w:r>
      <w:proofErr w:type="spellEnd"/>
      <w:r>
        <w:rPr>
          <w:rFonts w:ascii="Questa Sans" w:hAnsi="Questa Sans"/>
          <w:sz w:val="22"/>
        </w:rPr>
        <w:t xml:space="preserve"> de </w:t>
      </w:r>
      <w:proofErr w:type="spellStart"/>
      <w:r>
        <w:rPr>
          <w:rFonts w:ascii="Questa Sans" w:hAnsi="Questa Sans"/>
          <w:sz w:val="22"/>
        </w:rPr>
        <w:t>l’allocation</w:t>
      </w:r>
      <w:proofErr w:type="spellEnd"/>
    </w:p>
    <w:p w14:paraId="30B6C8A0" w14:textId="77777777" w:rsidR="00B171DF" w:rsidRPr="00986440" w:rsidRDefault="00B171DF" w:rsidP="00B171DF">
      <w:pPr>
        <w:pStyle w:val="ListParagraph"/>
        <w:numPr>
          <w:ilvl w:val="0"/>
          <w:numId w:val="3"/>
        </w:numPr>
        <w:spacing w:after="0"/>
        <w:jc w:val="both"/>
        <w:rPr>
          <w:rFonts w:ascii="Questa Sans" w:hAnsi="Questa Sans"/>
          <w:sz w:val="22"/>
          <w:szCs w:val="22"/>
          <w:lang w:val="fr-FR"/>
        </w:rPr>
      </w:pPr>
      <w:r w:rsidRPr="00986440">
        <w:rPr>
          <w:rFonts w:ascii="Questa Sans" w:hAnsi="Questa Sans"/>
          <w:sz w:val="22"/>
          <w:lang w:val="fr-FR"/>
        </w:rPr>
        <w:t>Prolongation de la date de fin du compte pour une date ultérieure à celle dans l’avis d’octroi</w:t>
      </w:r>
    </w:p>
    <w:p w14:paraId="6F3B742B" w14:textId="77777777" w:rsidR="00B171DF" w:rsidRPr="00986440" w:rsidRDefault="00B171DF" w:rsidP="00B171DF">
      <w:pPr>
        <w:spacing w:after="0"/>
        <w:jc w:val="both"/>
        <w:rPr>
          <w:rFonts w:ascii="Questa Sans" w:hAnsi="Questa Sans"/>
          <w:sz w:val="22"/>
          <w:szCs w:val="22"/>
          <w:lang w:val="fr-FR"/>
        </w:rPr>
      </w:pPr>
    </w:p>
    <w:p w14:paraId="56E491DA" w14:textId="036D1005" w:rsidR="00B171DF" w:rsidRDefault="00B171DF" w:rsidP="00B171DF">
      <w:pPr>
        <w:spacing w:after="0"/>
        <w:jc w:val="both"/>
        <w:rPr>
          <w:rFonts w:ascii="Questa Sans" w:hAnsi="Questa Sans"/>
          <w:b/>
          <w:color w:val="0A2471"/>
          <w:lang w:val="fr-FR"/>
        </w:rPr>
      </w:pPr>
      <w:r w:rsidRPr="00986440">
        <w:rPr>
          <w:rFonts w:ascii="Questa Sans" w:hAnsi="Questa Sans"/>
          <w:b/>
          <w:color w:val="0A2471"/>
          <w:lang w:val="fr-FR"/>
        </w:rPr>
        <w:t>Fonds non dépensés</w:t>
      </w:r>
    </w:p>
    <w:p w14:paraId="13F7207D" w14:textId="77777777" w:rsidR="00986440" w:rsidRPr="00986440" w:rsidRDefault="00986440" w:rsidP="00B171DF">
      <w:pPr>
        <w:spacing w:after="0"/>
        <w:jc w:val="both"/>
        <w:rPr>
          <w:rFonts w:ascii="Questa Sans" w:eastAsiaTheme="majorEastAsia" w:hAnsi="Questa Sans" w:cstheme="majorBidi"/>
          <w:b/>
          <w:bCs/>
          <w:color w:val="0A2471"/>
          <w:kern w:val="0"/>
          <w:lang w:val="fr-FR"/>
          <w14:ligatures w14:val="none"/>
        </w:rPr>
      </w:pPr>
    </w:p>
    <w:p w14:paraId="19BC3855" w14:textId="77777777" w:rsidR="00B171DF" w:rsidRPr="00986440" w:rsidRDefault="00B171DF" w:rsidP="00B171DF">
      <w:pPr>
        <w:spacing w:after="0"/>
        <w:jc w:val="both"/>
        <w:rPr>
          <w:rFonts w:ascii="Questa Sans" w:hAnsi="Questa Sans"/>
          <w:sz w:val="22"/>
          <w:szCs w:val="22"/>
          <w:lang w:val="fr-FR"/>
        </w:rPr>
      </w:pPr>
      <w:r w:rsidRPr="00986440">
        <w:rPr>
          <w:rFonts w:ascii="Questa Sans" w:hAnsi="Questa Sans"/>
          <w:sz w:val="22"/>
          <w:lang w:val="fr-FR"/>
        </w:rPr>
        <w:t>Toute portion non dépensée de l’allocation doit être versée à Mitacs si le stage prend fin plus tôt que prévu, à moins qu’une approbation préalable pour remplacer le ou la stagiaire ait été reçue.</w:t>
      </w:r>
    </w:p>
    <w:p w14:paraId="64C9CA13" w14:textId="77777777" w:rsidR="00B171DF" w:rsidRPr="00986440" w:rsidRDefault="00B171DF" w:rsidP="00B171DF">
      <w:pPr>
        <w:spacing w:after="0"/>
        <w:jc w:val="both"/>
        <w:rPr>
          <w:rFonts w:ascii="Questa Sans" w:hAnsi="Questa Sans"/>
          <w:sz w:val="22"/>
          <w:szCs w:val="22"/>
          <w:lang w:val="fr-FR"/>
        </w:rPr>
      </w:pPr>
    </w:p>
    <w:p w14:paraId="2C5A39C2" w14:textId="77777777" w:rsidR="00B171DF" w:rsidRPr="005C75ED" w:rsidRDefault="00B171DF" w:rsidP="00B171DF">
      <w:pPr>
        <w:spacing w:after="0"/>
        <w:jc w:val="both"/>
        <w:rPr>
          <w:rFonts w:ascii="Questa Sans" w:hAnsi="Questa Sans"/>
          <w:sz w:val="22"/>
          <w:szCs w:val="22"/>
          <w:lang w:val="fr-FR"/>
        </w:rPr>
      </w:pPr>
      <w:r w:rsidRPr="00986440">
        <w:rPr>
          <w:rFonts w:ascii="Questa Sans" w:hAnsi="Questa Sans"/>
          <w:sz w:val="22"/>
          <w:lang w:val="fr-FR"/>
        </w:rPr>
        <w:t xml:space="preserve">La professeure superviseure ou le professeur superviseur pourra se servir, à sa discrétion, des fonds de recherche et de matériel restants pour bonifier l’allocation du ou de la stagiaire. </w:t>
      </w:r>
      <w:r w:rsidRPr="005C75ED">
        <w:rPr>
          <w:rFonts w:ascii="Questa Sans" w:hAnsi="Questa Sans"/>
          <w:sz w:val="22"/>
          <w:lang w:val="fr-FR"/>
        </w:rPr>
        <w:t>Aucune approbation de Mitacs n’est requise.</w:t>
      </w:r>
    </w:p>
    <w:p w14:paraId="1A0B8928" w14:textId="77777777" w:rsidR="00376EBE" w:rsidRPr="005C75ED" w:rsidRDefault="00376EBE" w:rsidP="00376EBE">
      <w:pPr>
        <w:spacing w:after="0"/>
        <w:jc w:val="both"/>
        <w:rPr>
          <w:rFonts w:ascii="Questa Sans" w:hAnsi="Questa Sans"/>
          <w:sz w:val="22"/>
          <w:szCs w:val="22"/>
          <w:highlight w:val="yellow"/>
          <w:lang w:val="fr-FR"/>
        </w:rPr>
      </w:pPr>
    </w:p>
    <w:p w14:paraId="6A205273" w14:textId="77777777" w:rsidR="005C75ED" w:rsidRPr="005C75ED" w:rsidRDefault="005C75ED" w:rsidP="005C75ED">
      <w:pPr>
        <w:spacing w:after="0"/>
        <w:jc w:val="both"/>
        <w:rPr>
          <w:rFonts w:ascii="Questa Sans" w:eastAsiaTheme="majorEastAsia" w:hAnsi="Questa Sans" w:cstheme="majorBidi"/>
          <w:b/>
          <w:bCs/>
          <w:color w:val="0A2471"/>
          <w:kern w:val="0"/>
          <w:lang w:val="fr-FR"/>
          <w14:ligatures w14:val="none"/>
        </w:rPr>
      </w:pPr>
      <w:r w:rsidRPr="005C75ED">
        <w:rPr>
          <w:rFonts w:ascii="Questa Sans" w:hAnsi="Questa Sans"/>
          <w:b/>
          <w:color w:val="0A2471"/>
          <w:lang w:val="fr-FR"/>
        </w:rPr>
        <w:t>Rapports financiers :</w:t>
      </w:r>
    </w:p>
    <w:p w14:paraId="75080527" w14:textId="77777777" w:rsidR="005C75ED" w:rsidRPr="00E55B11" w:rsidRDefault="005C75ED" w:rsidP="005C75ED">
      <w:pPr>
        <w:spacing w:after="0"/>
        <w:jc w:val="both"/>
        <w:rPr>
          <w:rFonts w:ascii="Questa Sans" w:eastAsiaTheme="majorEastAsia" w:hAnsi="Questa Sans" w:cstheme="majorBidi"/>
          <w:b/>
          <w:bCs/>
          <w:color w:val="0A2471"/>
          <w:kern w:val="0"/>
          <w:sz w:val="22"/>
          <w:szCs w:val="22"/>
          <w:lang w:val="fr-FR"/>
          <w14:ligatures w14:val="none"/>
        </w:rPr>
      </w:pPr>
    </w:p>
    <w:p w14:paraId="4FBAA147" w14:textId="77777777" w:rsidR="005C75ED" w:rsidRPr="00D93324" w:rsidRDefault="005C75ED" w:rsidP="005C75ED">
      <w:pPr>
        <w:spacing w:after="0"/>
        <w:jc w:val="both"/>
        <w:rPr>
          <w:rFonts w:ascii="Questa Sans" w:hAnsi="Questa Sans"/>
          <w:sz w:val="22"/>
          <w:szCs w:val="22"/>
          <w:lang w:val="fr-FR"/>
        </w:rPr>
      </w:pPr>
      <w:r w:rsidRPr="005C75ED">
        <w:rPr>
          <w:rFonts w:ascii="Questa Sans" w:hAnsi="Questa Sans"/>
          <w:sz w:val="22"/>
          <w:lang w:val="fr-FR"/>
        </w:rPr>
        <w:t xml:space="preserve">Les rapports financiers de chaque compte doivent être soumis annuellement le 31 mai pour chaque exercice financier, jusqu’à ce que le compte affiche un solde nul. Un rapport financier final doit être soumis dans les 30 jours suivant la date de fin de la subvention. </w:t>
      </w:r>
      <w:r w:rsidRPr="00D93324">
        <w:rPr>
          <w:rFonts w:ascii="Questa Sans" w:hAnsi="Questa Sans"/>
          <w:sz w:val="22"/>
          <w:lang w:val="fr-FR"/>
        </w:rPr>
        <w:t xml:space="preserve">Actuellement, le formulaire 300 du CRSNG est utilisé. Il est possible que des renseignements supplémentaires soient requis à des fins d’audit et de conformité. Le professeur superviseur ou la professeure superviseure et le directeur ou la directrice des finances doivent signer les formulaires 300 et les faire parvenir à Mitacs une fois dûment remplis. Veuillez indiquer le numéro de référence de la demande et le titre du projet dans le formulaire 300 et l’envoyer à </w:t>
      </w:r>
      <w:hyperlink r:id="rId18" w:history="1">
        <w:r w:rsidRPr="00D93324">
          <w:rPr>
            <w:rStyle w:val="Hyperlink"/>
            <w:rFonts w:ascii="Questa Sans" w:hAnsi="Questa Sans"/>
            <w:sz w:val="22"/>
            <w:lang w:val="fr-FR"/>
          </w:rPr>
          <w:t>form300@mitacs.ca</w:t>
        </w:r>
      </w:hyperlink>
      <w:r w:rsidRPr="00D93324">
        <w:rPr>
          <w:rFonts w:ascii="Questa Sans" w:hAnsi="Questa Sans"/>
          <w:sz w:val="22"/>
          <w:lang w:val="fr-FR"/>
        </w:rPr>
        <w:t>.</w:t>
      </w:r>
    </w:p>
    <w:p w14:paraId="296F341E" w14:textId="77777777" w:rsidR="000A456F" w:rsidRPr="00D93324" w:rsidRDefault="000A456F" w:rsidP="00376EBE">
      <w:pPr>
        <w:spacing w:after="0"/>
        <w:ind w:left="1080"/>
        <w:rPr>
          <w:rFonts w:ascii="Questa Sans" w:hAnsi="Questa Sans"/>
          <w:sz w:val="22"/>
          <w:szCs w:val="22"/>
          <w:lang w:val="fr-FR"/>
        </w:rPr>
      </w:pPr>
    </w:p>
    <w:p w14:paraId="1D5D8296" w14:textId="0DBD5A90" w:rsidR="000760C1" w:rsidRPr="00750036" w:rsidRDefault="000760C1" w:rsidP="00750036">
      <w:pPr>
        <w:ind w:left="360"/>
        <w:jc w:val="both"/>
        <w:rPr>
          <w:rFonts w:ascii="Questa Sans" w:hAnsi="Questa Sans"/>
          <w:sz w:val="22"/>
          <w:szCs w:val="22"/>
          <w:highlight w:val="yellow"/>
          <w:lang w:val="fr-FR"/>
        </w:rPr>
      </w:pPr>
    </w:p>
    <w:sectPr w:rsidR="000760C1" w:rsidRPr="00750036" w:rsidSect="00D725D4">
      <w:headerReference w:type="default" r:id="rId19"/>
      <w:footerReference w:type="default" r:id="rId20"/>
      <w:pgSz w:w="12240" w:h="15840"/>
      <w:pgMar w:top="1440" w:right="1440" w:bottom="1980" w:left="1440" w:header="720"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788D" w14:textId="77777777" w:rsidR="00CE6C4C" w:rsidRDefault="00CE6C4C" w:rsidP="008E6115">
      <w:pPr>
        <w:spacing w:after="0" w:line="240" w:lineRule="auto"/>
      </w:pPr>
      <w:r>
        <w:separator/>
      </w:r>
    </w:p>
  </w:endnote>
  <w:endnote w:type="continuationSeparator" w:id="0">
    <w:p w14:paraId="65A3FBC6" w14:textId="77777777" w:rsidR="00CE6C4C" w:rsidRDefault="00CE6C4C" w:rsidP="008E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Questa Sans">
    <w:panose1 w:val="02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688A" w14:textId="659AC5BD" w:rsidR="008E6115" w:rsidRDefault="00D725D4">
    <w:pPr>
      <w:pStyle w:val="Footer"/>
    </w:pPr>
    <w:r w:rsidRPr="00087BF9">
      <w:rPr>
        <w:noProof/>
        <w:color w:val="000000"/>
        <w:lang w:val="en-CA" w:eastAsia="ko-KR"/>
      </w:rPr>
      <w:drawing>
        <wp:anchor distT="0" distB="0" distL="114300" distR="114300" simplePos="0" relativeHeight="251658240" behindDoc="1" locked="0" layoutInCell="1" allowOverlap="1" wp14:anchorId="2B26E5CD" wp14:editId="0E4AACFD">
          <wp:simplePos x="0" y="0"/>
          <wp:positionH relativeFrom="column">
            <wp:posOffset>0</wp:posOffset>
          </wp:positionH>
          <wp:positionV relativeFrom="paragraph">
            <wp:posOffset>0</wp:posOffset>
          </wp:positionV>
          <wp:extent cx="5814000" cy="620889"/>
          <wp:effectExtent l="0" t="0" r="0" b="1905"/>
          <wp:wrapNone/>
          <wp:docPr id="2005274191" name="Picture 1">
            <a:extLst xmlns:a="http://schemas.openxmlformats.org/drawingml/2006/main">
              <a:ext uri="{FF2B5EF4-FFF2-40B4-BE49-F238E27FC236}">
                <a16:creationId xmlns:a16="http://schemas.microsoft.com/office/drawing/2014/main" id="{C15A82EF-4125-499E-9283-560E558720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2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620889"/>
                  </a:xfrm>
                  <a:prstGeom prst="rect">
                    <a:avLst/>
                  </a:prstGeom>
                </pic:spPr>
              </pic:pic>
            </a:graphicData>
          </a:graphic>
          <wp14:sizeRelH relativeFrom="page">
            <wp14:pctWidth>0</wp14:pctWidth>
          </wp14:sizeRelH>
          <wp14:sizeRelV relativeFrom="page">
            <wp14:pctHeight>0</wp14:pctHeight>
          </wp14:sizeRelV>
        </wp:anchor>
      </w:drawing>
    </w:r>
  </w:p>
  <w:p w14:paraId="6BED469A" w14:textId="77777777" w:rsidR="00D725D4" w:rsidRDefault="00D7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C013" w14:textId="77777777" w:rsidR="00CE6C4C" w:rsidRDefault="00CE6C4C" w:rsidP="008E6115">
      <w:pPr>
        <w:spacing w:after="0" w:line="240" w:lineRule="auto"/>
      </w:pPr>
      <w:r>
        <w:separator/>
      </w:r>
    </w:p>
  </w:footnote>
  <w:footnote w:type="continuationSeparator" w:id="0">
    <w:p w14:paraId="5BCDC88A" w14:textId="77777777" w:rsidR="00CE6C4C" w:rsidRDefault="00CE6C4C" w:rsidP="008E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011" w14:textId="795008B5" w:rsidR="008E6115" w:rsidRDefault="00F858CD">
    <w:pPr>
      <w:pStyle w:val="Header"/>
    </w:pPr>
    <w:r>
      <w:rPr>
        <w:noProof/>
      </w:rPr>
      <w:drawing>
        <wp:inline distT="0" distB="0" distL="0" distR="0" wp14:anchorId="35B4F0CF" wp14:editId="39F950C1">
          <wp:extent cx="1809750" cy="438622"/>
          <wp:effectExtent l="0" t="0" r="0" b="0"/>
          <wp:docPr id="176339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372" cy="451376"/>
                  </a:xfrm>
                  <a:prstGeom prst="rect">
                    <a:avLst/>
                  </a:prstGeom>
                  <a:noFill/>
                  <a:ln>
                    <a:noFill/>
                  </a:ln>
                </pic:spPr>
              </pic:pic>
            </a:graphicData>
          </a:graphic>
        </wp:inline>
      </w:drawing>
    </w:r>
  </w:p>
  <w:p w14:paraId="10D0913C" w14:textId="77777777" w:rsidR="008E6115" w:rsidRDefault="008E6115">
    <w:pPr>
      <w:pStyle w:val="Header"/>
    </w:pPr>
  </w:p>
  <w:p w14:paraId="58DE9635" w14:textId="77777777" w:rsidR="005625F9" w:rsidRDefault="0056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62"/>
    <w:multiLevelType w:val="hybridMultilevel"/>
    <w:tmpl w:val="13F61F06"/>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037D7BC6"/>
    <w:multiLevelType w:val="hybridMultilevel"/>
    <w:tmpl w:val="41EC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2A06"/>
    <w:multiLevelType w:val="multilevel"/>
    <w:tmpl w:val="ACB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A1189"/>
    <w:multiLevelType w:val="hybridMultilevel"/>
    <w:tmpl w:val="C0D08178"/>
    <w:lvl w:ilvl="0" w:tplc="6F1626B6">
      <w:start w:val="1"/>
      <w:numFmt w:val="bullet"/>
      <w:lvlText w:val="•"/>
      <w:lvlJc w:val="left"/>
      <w:pPr>
        <w:tabs>
          <w:tab w:val="num" w:pos="720"/>
        </w:tabs>
        <w:ind w:left="720" w:hanging="360"/>
      </w:pPr>
      <w:rPr>
        <w:rFonts w:ascii="Arial" w:hAnsi="Arial" w:hint="default"/>
      </w:rPr>
    </w:lvl>
    <w:lvl w:ilvl="1" w:tplc="7610E592">
      <w:start w:val="1"/>
      <w:numFmt w:val="bullet"/>
      <w:lvlText w:val="•"/>
      <w:lvlJc w:val="left"/>
      <w:pPr>
        <w:tabs>
          <w:tab w:val="num" w:pos="1440"/>
        </w:tabs>
        <w:ind w:left="1440" w:hanging="360"/>
      </w:pPr>
      <w:rPr>
        <w:rFonts w:ascii="Arial" w:hAnsi="Arial" w:hint="default"/>
      </w:rPr>
    </w:lvl>
    <w:lvl w:ilvl="2" w:tplc="D0B671E0" w:tentative="1">
      <w:start w:val="1"/>
      <w:numFmt w:val="bullet"/>
      <w:lvlText w:val="•"/>
      <w:lvlJc w:val="left"/>
      <w:pPr>
        <w:tabs>
          <w:tab w:val="num" w:pos="2160"/>
        </w:tabs>
        <w:ind w:left="2160" w:hanging="360"/>
      </w:pPr>
      <w:rPr>
        <w:rFonts w:ascii="Arial" w:hAnsi="Arial" w:hint="default"/>
      </w:rPr>
    </w:lvl>
    <w:lvl w:ilvl="3" w:tplc="13F4FD0C" w:tentative="1">
      <w:start w:val="1"/>
      <w:numFmt w:val="bullet"/>
      <w:lvlText w:val="•"/>
      <w:lvlJc w:val="left"/>
      <w:pPr>
        <w:tabs>
          <w:tab w:val="num" w:pos="2880"/>
        </w:tabs>
        <w:ind w:left="2880" w:hanging="360"/>
      </w:pPr>
      <w:rPr>
        <w:rFonts w:ascii="Arial" w:hAnsi="Arial" w:hint="default"/>
      </w:rPr>
    </w:lvl>
    <w:lvl w:ilvl="4" w:tplc="4ABA4F3A" w:tentative="1">
      <w:start w:val="1"/>
      <w:numFmt w:val="bullet"/>
      <w:lvlText w:val="•"/>
      <w:lvlJc w:val="left"/>
      <w:pPr>
        <w:tabs>
          <w:tab w:val="num" w:pos="3600"/>
        </w:tabs>
        <w:ind w:left="3600" w:hanging="360"/>
      </w:pPr>
      <w:rPr>
        <w:rFonts w:ascii="Arial" w:hAnsi="Arial" w:hint="default"/>
      </w:rPr>
    </w:lvl>
    <w:lvl w:ilvl="5" w:tplc="D246538C" w:tentative="1">
      <w:start w:val="1"/>
      <w:numFmt w:val="bullet"/>
      <w:lvlText w:val="•"/>
      <w:lvlJc w:val="left"/>
      <w:pPr>
        <w:tabs>
          <w:tab w:val="num" w:pos="4320"/>
        </w:tabs>
        <w:ind w:left="4320" w:hanging="360"/>
      </w:pPr>
      <w:rPr>
        <w:rFonts w:ascii="Arial" w:hAnsi="Arial" w:hint="default"/>
      </w:rPr>
    </w:lvl>
    <w:lvl w:ilvl="6" w:tplc="9F565328" w:tentative="1">
      <w:start w:val="1"/>
      <w:numFmt w:val="bullet"/>
      <w:lvlText w:val="•"/>
      <w:lvlJc w:val="left"/>
      <w:pPr>
        <w:tabs>
          <w:tab w:val="num" w:pos="5040"/>
        </w:tabs>
        <w:ind w:left="5040" w:hanging="360"/>
      </w:pPr>
      <w:rPr>
        <w:rFonts w:ascii="Arial" w:hAnsi="Arial" w:hint="default"/>
      </w:rPr>
    </w:lvl>
    <w:lvl w:ilvl="7" w:tplc="8B56ECF2" w:tentative="1">
      <w:start w:val="1"/>
      <w:numFmt w:val="bullet"/>
      <w:lvlText w:val="•"/>
      <w:lvlJc w:val="left"/>
      <w:pPr>
        <w:tabs>
          <w:tab w:val="num" w:pos="5760"/>
        </w:tabs>
        <w:ind w:left="5760" w:hanging="360"/>
      </w:pPr>
      <w:rPr>
        <w:rFonts w:ascii="Arial" w:hAnsi="Arial" w:hint="default"/>
      </w:rPr>
    </w:lvl>
    <w:lvl w:ilvl="8" w:tplc="C852AF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771229"/>
    <w:multiLevelType w:val="multilevel"/>
    <w:tmpl w:val="B3D44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6F3BD2"/>
    <w:multiLevelType w:val="multilevel"/>
    <w:tmpl w:val="398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FA1F01"/>
    <w:multiLevelType w:val="multilevel"/>
    <w:tmpl w:val="485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A6F94"/>
    <w:multiLevelType w:val="hybridMultilevel"/>
    <w:tmpl w:val="B8D4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45A43"/>
    <w:multiLevelType w:val="hybridMultilevel"/>
    <w:tmpl w:val="1B526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95F2B"/>
    <w:multiLevelType w:val="hybridMultilevel"/>
    <w:tmpl w:val="7FAC7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1D7017"/>
    <w:multiLevelType w:val="multilevel"/>
    <w:tmpl w:val="F398D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05D6446"/>
    <w:multiLevelType w:val="hybridMultilevel"/>
    <w:tmpl w:val="51046B04"/>
    <w:lvl w:ilvl="0" w:tplc="E4120C68">
      <w:start w:val="1"/>
      <w:numFmt w:val="bullet"/>
      <w:lvlText w:val=""/>
      <w:lvlJc w:val="left"/>
      <w:pPr>
        <w:tabs>
          <w:tab w:val="num" w:pos="720"/>
        </w:tabs>
        <w:ind w:left="720" w:hanging="360"/>
      </w:pPr>
      <w:rPr>
        <w:rFonts w:ascii="Wingdings" w:hAnsi="Wingdings" w:hint="default"/>
      </w:rPr>
    </w:lvl>
    <w:lvl w:ilvl="1" w:tplc="74A20874" w:tentative="1">
      <w:start w:val="1"/>
      <w:numFmt w:val="bullet"/>
      <w:lvlText w:val=""/>
      <w:lvlJc w:val="left"/>
      <w:pPr>
        <w:tabs>
          <w:tab w:val="num" w:pos="1440"/>
        </w:tabs>
        <w:ind w:left="1440" w:hanging="360"/>
      </w:pPr>
      <w:rPr>
        <w:rFonts w:ascii="Wingdings" w:hAnsi="Wingdings" w:hint="default"/>
      </w:rPr>
    </w:lvl>
    <w:lvl w:ilvl="2" w:tplc="886AD28A" w:tentative="1">
      <w:start w:val="1"/>
      <w:numFmt w:val="bullet"/>
      <w:lvlText w:val=""/>
      <w:lvlJc w:val="left"/>
      <w:pPr>
        <w:tabs>
          <w:tab w:val="num" w:pos="2160"/>
        </w:tabs>
        <w:ind w:left="2160" w:hanging="360"/>
      </w:pPr>
      <w:rPr>
        <w:rFonts w:ascii="Wingdings" w:hAnsi="Wingdings" w:hint="default"/>
      </w:rPr>
    </w:lvl>
    <w:lvl w:ilvl="3" w:tplc="84D2CAD4" w:tentative="1">
      <w:start w:val="1"/>
      <w:numFmt w:val="bullet"/>
      <w:lvlText w:val=""/>
      <w:lvlJc w:val="left"/>
      <w:pPr>
        <w:tabs>
          <w:tab w:val="num" w:pos="2880"/>
        </w:tabs>
        <w:ind w:left="2880" w:hanging="360"/>
      </w:pPr>
      <w:rPr>
        <w:rFonts w:ascii="Wingdings" w:hAnsi="Wingdings" w:hint="default"/>
      </w:rPr>
    </w:lvl>
    <w:lvl w:ilvl="4" w:tplc="A99A1022" w:tentative="1">
      <w:start w:val="1"/>
      <w:numFmt w:val="bullet"/>
      <w:lvlText w:val=""/>
      <w:lvlJc w:val="left"/>
      <w:pPr>
        <w:tabs>
          <w:tab w:val="num" w:pos="3600"/>
        </w:tabs>
        <w:ind w:left="3600" w:hanging="360"/>
      </w:pPr>
      <w:rPr>
        <w:rFonts w:ascii="Wingdings" w:hAnsi="Wingdings" w:hint="default"/>
      </w:rPr>
    </w:lvl>
    <w:lvl w:ilvl="5" w:tplc="2CA03D82" w:tentative="1">
      <w:start w:val="1"/>
      <w:numFmt w:val="bullet"/>
      <w:lvlText w:val=""/>
      <w:lvlJc w:val="left"/>
      <w:pPr>
        <w:tabs>
          <w:tab w:val="num" w:pos="4320"/>
        </w:tabs>
        <w:ind w:left="4320" w:hanging="360"/>
      </w:pPr>
      <w:rPr>
        <w:rFonts w:ascii="Wingdings" w:hAnsi="Wingdings" w:hint="default"/>
      </w:rPr>
    </w:lvl>
    <w:lvl w:ilvl="6" w:tplc="EEEC9982" w:tentative="1">
      <w:start w:val="1"/>
      <w:numFmt w:val="bullet"/>
      <w:lvlText w:val=""/>
      <w:lvlJc w:val="left"/>
      <w:pPr>
        <w:tabs>
          <w:tab w:val="num" w:pos="5040"/>
        </w:tabs>
        <w:ind w:left="5040" w:hanging="360"/>
      </w:pPr>
      <w:rPr>
        <w:rFonts w:ascii="Wingdings" w:hAnsi="Wingdings" w:hint="default"/>
      </w:rPr>
    </w:lvl>
    <w:lvl w:ilvl="7" w:tplc="B246D108" w:tentative="1">
      <w:start w:val="1"/>
      <w:numFmt w:val="bullet"/>
      <w:lvlText w:val=""/>
      <w:lvlJc w:val="left"/>
      <w:pPr>
        <w:tabs>
          <w:tab w:val="num" w:pos="5760"/>
        </w:tabs>
        <w:ind w:left="5760" w:hanging="360"/>
      </w:pPr>
      <w:rPr>
        <w:rFonts w:ascii="Wingdings" w:hAnsi="Wingdings" w:hint="default"/>
      </w:rPr>
    </w:lvl>
    <w:lvl w:ilvl="8" w:tplc="C444F2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8C00BD"/>
    <w:multiLevelType w:val="multilevel"/>
    <w:tmpl w:val="0738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D299B"/>
    <w:multiLevelType w:val="hybridMultilevel"/>
    <w:tmpl w:val="AA981918"/>
    <w:lvl w:ilvl="0" w:tplc="F75ABB60">
      <w:start w:val="1"/>
      <w:numFmt w:val="bullet"/>
      <w:lvlText w:val="•"/>
      <w:lvlJc w:val="left"/>
      <w:pPr>
        <w:tabs>
          <w:tab w:val="num" w:pos="720"/>
        </w:tabs>
        <w:ind w:left="720" w:hanging="360"/>
      </w:pPr>
      <w:rPr>
        <w:rFonts w:ascii="Arial" w:hAnsi="Arial" w:hint="default"/>
      </w:rPr>
    </w:lvl>
    <w:lvl w:ilvl="1" w:tplc="C1D80BEE" w:tentative="1">
      <w:start w:val="1"/>
      <w:numFmt w:val="bullet"/>
      <w:lvlText w:val="•"/>
      <w:lvlJc w:val="left"/>
      <w:pPr>
        <w:tabs>
          <w:tab w:val="num" w:pos="1440"/>
        </w:tabs>
        <w:ind w:left="1440" w:hanging="360"/>
      </w:pPr>
      <w:rPr>
        <w:rFonts w:ascii="Arial" w:hAnsi="Arial" w:hint="default"/>
      </w:rPr>
    </w:lvl>
    <w:lvl w:ilvl="2" w:tplc="101C7468" w:tentative="1">
      <w:start w:val="1"/>
      <w:numFmt w:val="bullet"/>
      <w:lvlText w:val="•"/>
      <w:lvlJc w:val="left"/>
      <w:pPr>
        <w:tabs>
          <w:tab w:val="num" w:pos="2160"/>
        </w:tabs>
        <w:ind w:left="2160" w:hanging="360"/>
      </w:pPr>
      <w:rPr>
        <w:rFonts w:ascii="Arial" w:hAnsi="Arial" w:hint="default"/>
      </w:rPr>
    </w:lvl>
    <w:lvl w:ilvl="3" w:tplc="4A0ABC14" w:tentative="1">
      <w:start w:val="1"/>
      <w:numFmt w:val="bullet"/>
      <w:lvlText w:val="•"/>
      <w:lvlJc w:val="left"/>
      <w:pPr>
        <w:tabs>
          <w:tab w:val="num" w:pos="2880"/>
        </w:tabs>
        <w:ind w:left="2880" w:hanging="360"/>
      </w:pPr>
      <w:rPr>
        <w:rFonts w:ascii="Arial" w:hAnsi="Arial" w:hint="default"/>
      </w:rPr>
    </w:lvl>
    <w:lvl w:ilvl="4" w:tplc="BF722270" w:tentative="1">
      <w:start w:val="1"/>
      <w:numFmt w:val="bullet"/>
      <w:lvlText w:val="•"/>
      <w:lvlJc w:val="left"/>
      <w:pPr>
        <w:tabs>
          <w:tab w:val="num" w:pos="3600"/>
        </w:tabs>
        <w:ind w:left="3600" w:hanging="360"/>
      </w:pPr>
      <w:rPr>
        <w:rFonts w:ascii="Arial" w:hAnsi="Arial" w:hint="default"/>
      </w:rPr>
    </w:lvl>
    <w:lvl w:ilvl="5" w:tplc="A538D452" w:tentative="1">
      <w:start w:val="1"/>
      <w:numFmt w:val="bullet"/>
      <w:lvlText w:val="•"/>
      <w:lvlJc w:val="left"/>
      <w:pPr>
        <w:tabs>
          <w:tab w:val="num" w:pos="4320"/>
        </w:tabs>
        <w:ind w:left="4320" w:hanging="360"/>
      </w:pPr>
      <w:rPr>
        <w:rFonts w:ascii="Arial" w:hAnsi="Arial" w:hint="default"/>
      </w:rPr>
    </w:lvl>
    <w:lvl w:ilvl="6" w:tplc="D54C8680" w:tentative="1">
      <w:start w:val="1"/>
      <w:numFmt w:val="bullet"/>
      <w:lvlText w:val="•"/>
      <w:lvlJc w:val="left"/>
      <w:pPr>
        <w:tabs>
          <w:tab w:val="num" w:pos="5040"/>
        </w:tabs>
        <w:ind w:left="5040" w:hanging="360"/>
      </w:pPr>
      <w:rPr>
        <w:rFonts w:ascii="Arial" w:hAnsi="Arial" w:hint="default"/>
      </w:rPr>
    </w:lvl>
    <w:lvl w:ilvl="7" w:tplc="5394C79E" w:tentative="1">
      <w:start w:val="1"/>
      <w:numFmt w:val="bullet"/>
      <w:lvlText w:val="•"/>
      <w:lvlJc w:val="left"/>
      <w:pPr>
        <w:tabs>
          <w:tab w:val="num" w:pos="5760"/>
        </w:tabs>
        <w:ind w:left="5760" w:hanging="360"/>
      </w:pPr>
      <w:rPr>
        <w:rFonts w:ascii="Arial" w:hAnsi="Arial" w:hint="default"/>
      </w:rPr>
    </w:lvl>
    <w:lvl w:ilvl="8" w:tplc="8632A9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436ECB"/>
    <w:multiLevelType w:val="hybridMultilevel"/>
    <w:tmpl w:val="B5BE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F4FF2"/>
    <w:multiLevelType w:val="multilevel"/>
    <w:tmpl w:val="93A2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E43D9"/>
    <w:multiLevelType w:val="hybridMultilevel"/>
    <w:tmpl w:val="51FEE87E"/>
    <w:lvl w:ilvl="0" w:tplc="D2DE103A">
      <w:start w:val="1"/>
      <w:numFmt w:val="bullet"/>
      <w:lvlText w:val="•"/>
      <w:lvlJc w:val="left"/>
      <w:pPr>
        <w:tabs>
          <w:tab w:val="num" w:pos="720"/>
        </w:tabs>
        <w:ind w:left="720" w:hanging="360"/>
      </w:pPr>
      <w:rPr>
        <w:rFonts w:ascii="Arial" w:hAnsi="Arial" w:hint="default"/>
      </w:rPr>
    </w:lvl>
    <w:lvl w:ilvl="1" w:tplc="E662D086">
      <w:start w:val="1"/>
      <w:numFmt w:val="bullet"/>
      <w:lvlText w:val="•"/>
      <w:lvlJc w:val="left"/>
      <w:pPr>
        <w:tabs>
          <w:tab w:val="num" w:pos="1440"/>
        </w:tabs>
        <w:ind w:left="1440" w:hanging="360"/>
      </w:pPr>
      <w:rPr>
        <w:rFonts w:ascii="Arial" w:hAnsi="Arial" w:hint="default"/>
      </w:rPr>
    </w:lvl>
    <w:lvl w:ilvl="2" w:tplc="4ACA9A52" w:tentative="1">
      <w:start w:val="1"/>
      <w:numFmt w:val="bullet"/>
      <w:lvlText w:val="•"/>
      <w:lvlJc w:val="left"/>
      <w:pPr>
        <w:tabs>
          <w:tab w:val="num" w:pos="2160"/>
        </w:tabs>
        <w:ind w:left="2160" w:hanging="360"/>
      </w:pPr>
      <w:rPr>
        <w:rFonts w:ascii="Arial" w:hAnsi="Arial" w:hint="default"/>
      </w:rPr>
    </w:lvl>
    <w:lvl w:ilvl="3" w:tplc="DD3E2950" w:tentative="1">
      <w:start w:val="1"/>
      <w:numFmt w:val="bullet"/>
      <w:lvlText w:val="•"/>
      <w:lvlJc w:val="left"/>
      <w:pPr>
        <w:tabs>
          <w:tab w:val="num" w:pos="2880"/>
        </w:tabs>
        <w:ind w:left="2880" w:hanging="360"/>
      </w:pPr>
      <w:rPr>
        <w:rFonts w:ascii="Arial" w:hAnsi="Arial" w:hint="default"/>
      </w:rPr>
    </w:lvl>
    <w:lvl w:ilvl="4" w:tplc="696004A0" w:tentative="1">
      <w:start w:val="1"/>
      <w:numFmt w:val="bullet"/>
      <w:lvlText w:val="•"/>
      <w:lvlJc w:val="left"/>
      <w:pPr>
        <w:tabs>
          <w:tab w:val="num" w:pos="3600"/>
        </w:tabs>
        <w:ind w:left="3600" w:hanging="360"/>
      </w:pPr>
      <w:rPr>
        <w:rFonts w:ascii="Arial" w:hAnsi="Arial" w:hint="default"/>
      </w:rPr>
    </w:lvl>
    <w:lvl w:ilvl="5" w:tplc="BB683114" w:tentative="1">
      <w:start w:val="1"/>
      <w:numFmt w:val="bullet"/>
      <w:lvlText w:val="•"/>
      <w:lvlJc w:val="left"/>
      <w:pPr>
        <w:tabs>
          <w:tab w:val="num" w:pos="4320"/>
        </w:tabs>
        <w:ind w:left="4320" w:hanging="360"/>
      </w:pPr>
      <w:rPr>
        <w:rFonts w:ascii="Arial" w:hAnsi="Arial" w:hint="default"/>
      </w:rPr>
    </w:lvl>
    <w:lvl w:ilvl="6" w:tplc="3638519E" w:tentative="1">
      <w:start w:val="1"/>
      <w:numFmt w:val="bullet"/>
      <w:lvlText w:val="•"/>
      <w:lvlJc w:val="left"/>
      <w:pPr>
        <w:tabs>
          <w:tab w:val="num" w:pos="5040"/>
        </w:tabs>
        <w:ind w:left="5040" w:hanging="360"/>
      </w:pPr>
      <w:rPr>
        <w:rFonts w:ascii="Arial" w:hAnsi="Arial" w:hint="default"/>
      </w:rPr>
    </w:lvl>
    <w:lvl w:ilvl="7" w:tplc="895065B4" w:tentative="1">
      <w:start w:val="1"/>
      <w:numFmt w:val="bullet"/>
      <w:lvlText w:val="•"/>
      <w:lvlJc w:val="left"/>
      <w:pPr>
        <w:tabs>
          <w:tab w:val="num" w:pos="5760"/>
        </w:tabs>
        <w:ind w:left="5760" w:hanging="360"/>
      </w:pPr>
      <w:rPr>
        <w:rFonts w:ascii="Arial" w:hAnsi="Arial" w:hint="default"/>
      </w:rPr>
    </w:lvl>
    <w:lvl w:ilvl="8" w:tplc="0D6E8B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8A5535"/>
    <w:multiLevelType w:val="hybridMultilevel"/>
    <w:tmpl w:val="56928B2A"/>
    <w:lvl w:ilvl="0" w:tplc="45C62FEC">
      <w:start w:val="1"/>
      <w:numFmt w:val="bullet"/>
      <w:lvlText w:val="•"/>
      <w:lvlJc w:val="left"/>
      <w:pPr>
        <w:tabs>
          <w:tab w:val="num" w:pos="720"/>
        </w:tabs>
        <w:ind w:left="720" w:hanging="360"/>
      </w:pPr>
      <w:rPr>
        <w:rFonts w:ascii="Arial" w:hAnsi="Arial" w:hint="default"/>
      </w:rPr>
    </w:lvl>
    <w:lvl w:ilvl="1" w:tplc="C57E09F8" w:tentative="1">
      <w:start w:val="1"/>
      <w:numFmt w:val="bullet"/>
      <w:lvlText w:val="•"/>
      <w:lvlJc w:val="left"/>
      <w:pPr>
        <w:tabs>
          <w:tab w:val="num" w:pos="1440"/>
        </w:tabs>
        <w:ind w:left="1440" w:hanging="360"/>
      </w:pPr>
      <w:rPr>
        <w:rFonts w:ascii="Arial" w:hAnsi="Arial" w:hint="default"/>
      </w:rPr>
    </w:lvl>
    <w:lvl w:ilvl="2" w:tplc="F1C00CDE" w:tentative="1">
      <w:start w:val="1"/>
      <w:numFmt w:val="bullet"/>
      <w:lvlText w:val="•"/>
      <w:lvlJc w:val="left"/>
      <w:pPr>
        <w:tabs>
          <w:tab w:val="num" w:pos="2160"/>
        </w:tabs>
        <w:ind w:left="2160" w:hanging="360"/>
      </w:pPr>
      <w:rPr>
        <w:rFonts w:ascii="Arial" w:hAnsi="Arial" w:hint="default"/>
      </w:rPr>
    </w:lvl>
    <w:lvl w:ilvl="3" w:tplc="0F84A814" w:tentative="1">
      <w:start w:val="1"/>
      <w:numFmt w:val="bullet"/>
      <w:lvlText w:val="•"/>
      <w:lvlJc w:val="left"/>
      <w:pPr>
        <w:tabs>
          <w:tab w:val="num" w:pos="2880"/>
        </w:tabs>
        <w:ind w:left="2880" w:hanging="360"/>
      </w:pPr>
      <w:rPr>
        <w:rFonts w:ascii="Arial" w:hAnsi="Arial" w:hint="default"/>
      </w:rPr>
    </w:lvl>
    <w:lvl w:ilvl="4" w:tplc="8D626BA2" w:tentative="1">
      <w:start w:val="1"/>
      <w:numFmt w:val="bullet"/>
      <w:lvlText w:val="•"/>
      <w:lvlJc w:val="left"/>
      <w:pPr>
        <w:tabs>
          <w:tab w:val="num" w:pos="3600"/>
        </w:tabs>
        <w:ind w:left="3600" w:hanging="360"/>
      </w:pPr>
      <w:rPr>
        <w:rFonts w:ascii="Arial" w:hAnsi="Arial" w:hint="default"/>
      </w:rPr>
    </w:lvl>
    <w:lvl w:ilvl="5" w:tplc="9496A1B2" w:tentative="1">
      <w:start w:val="1"/>
      <w:numFmt w:val="bullet"/>
      <w:lvlText w:val="•"/>
      <w:lvlJc w:val="left"/>
      <w:pPr>
        <w:tabs>
          <w:tab w:val="num" w:pos="4320"/>
        </w:tabs>
        <w:ind w:left="4320" w:hanging="360"/>
      </w:pPr>
      <w:rPr>
        <w:rFonts w:ascii="Arial" w:hAnsi="Arial" w:hint="default"/>
      </w:rPr>
    </w:lvl>
    <w:lvl w:ilvl="6" w:tplc="B4C6B1C6" w:tentative="1">
      <w:start w:val="1"/>
      <w:numFmt w:val="bullet"/>
      <w:lvlText w:val="•"/>
      <w:lvlJc w:val="left"/>
      <w:pPr>
        <w:tabs>
          <w:tab w:val="num" w:pos="5040"/>
        </w:tabs>
        <w:ind w:left="5040" w:hanging="360"/>
      </w:pPr>
      <w:rPr>
        <w:rFonts w:ascii="Arial" w:hAnsi="Arial" w:hint="default"/>
      </w:rPr>
    </w:lvl>
    <w:lvl w:ilvl="7" w:tplc="AC62BF06" w:tentative="1">
      <w:start w:val="1"/>
      <w:numFmt w:val="bullet"/>
      <w:lvlText w:val="•"/>
      <w:lvlJc w:val="left"/>
      <w:pPr>
        <w:tabs>
          <w:tab w:val="num" w:pos="5760"/>
        </w:tabs>
        <w:ind w:left="5760" w:hanging="360"/>
      </w:pPr>
      <w:rPr>
        <w:rFonts w:ascii="Arial" w:hAnsi="Arial" w:hint="default"/>
      </w:rPr>
    </w:lvl>
    <w:lvl w:ilvl="8" w:tplc="FF4A43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C21ECA"/>
    <w:multiLevelType w:val="hybridMultilevel"/>
    <w:tmpl w:val="DAAA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96707"/>
    <w:multiLevelType w:val="hybridMultilevel"/>
    <w:tmpl w:val="88387284"/>
    <w:lvl w:ilvl="0" w:tplc="98020806">
      <w:start w:val="1"/>
      <w:numFmt w:val="bullet"/>
      <w:lvlText w:val="•"/>
      <w:lvlJc w:val="left"/>
      <w:pPr>
        <w:tabs>
          <w:tab w:val="num" w:pos="720"/>
        </w:tabs>
        <w:ind w:left="720" w:hanging="360"/>
      </w:pPr>
      <w:rPr>
        <w:rFonts w:ascii="Arial" w:hAnsi="Arial" w:hint="default"/>
      </w:rPr>
    </w:lvl>
    <w:lvl w:ilvl="1" w:tplc="3B4ADDCA">
      <w:start w:val="1"/>
      <w:numFmt w:val="bullet"/>
      <w:lvlText w:val="•"/>
      <w:lvlJc w:val="left"/>
      <w:pPr>
        <w:tabs>
          <w:tab w:val="num" w:pos="1440"/>
        </w:tabs>
        <w:ind w:left="1440" w:hanging="360"/>
      </w:pPr>
      <w:rPr>
        <w:rFonts w:ascii="Arial" w:hAnsi="Arial" w:hint="default"/>
      </w:rPr>
    </w:lvl>
    <w:lvl w:ilvl="2" w:tplc="072EADEC" w:tentative="1">
      <w:start w:val="1"/>
      <w:numFmt w:val="bullet"/>
      <w:lvlText w:val="•"/>
      <w:lvlJc w:val="left"/>
      <w:pPr>
        <w:tabs>
          <w:tab w:val="num" w:pos="2160"/>
        </w:tabs>
        <w:ind w:left="2160" w:hanging="360"/>
      </w:pPr>
      <w:rPr>
        <w:rFonts w:ascii="Arial" w:hAnsi="Arial" w:hint="default"/>
      </w:rPr>
    </w:lvl>
    <w:lvl w:ilvl="3" w:tplc="C1E286DA" w:tentative="1">
      <w:start w:val="1"/>
      <w:numFmt w:val="bullet"/>
      <w:lvlText w:val="•"/>
      <w:lvlJc w:val="left"/>
      <w:pPr>
        <w:tabs>
          <w:tab w:val="num" w:pos="2880"/>
        </w:tabs>
        <w:ind w:left="2880" w:hanging="360"/>
      </w:pPr>
      <w:rPr>
        <w:rFonts w:ascii="Arial" w:hAnsi="Arial" w:hint="default"/>
      </w:rPr>
    </w:lvl>
    <w:lvl w:ilvl="4" w:tplc="E5AEE090" w:tentative="1">
      <w:start w:val="1"/>
      <w:numFmt w:val="bullet"/>
      <w:lvlText w:val="•"/>
      <w:lvlJc w:val="left"/>
      <w:pPr>
        <w:tabs>
          <w:tab w:val="num" w:pos="3600"/>
        </w:tabs>
        <w:ind w:left="3600" w:hanging="360"/>
      </w:pPr>
      <w:rPr>
        <w:rFonts w:ascii="Arial" w:hAnsi="Arial" w:hint="default"/>
      </w:rPr>
    </w:lvl>
    <w:lvl w:ilvl="5" w:tplc="928C835E" w:tentative="1">
      <w:start w:val="1"/>
      <w:numFmt w:val="bullet"/>
      <w:lvlText w:val="•"/>
      <w:lvlJc w:val="left"/>
      <w:pPr>
        <w:tabs>
          <w:tab w:val="num" w:pos="4320"/>
        </w:tabs>
        <w:ind w:left="4320" w:hanging="360"/>
      </w:pPr>
      <w:rPr>
        <w:rFonts w:ascii="Arial" w:hAnsi="Arial" w:hint="default"/>
      </w:rPr>
    </w:lvl>
    <w:lvl w:ilvl="6" w:tplc="3EC0AA80" w:tentative="1">
      <w:start w:val="1"/>
      <w:numFmt w:val="bullet"/>
      <w:lvlText w:val="•"/>
      <w:lvlJc w:val="left"/>
      <w:pPr>
        <w:tabs>
          <w:tab w:val="num" w:pos="5040"/>
        </w:tabs>
        <w:ind w:left="5040" w:hanging="360"/>
      </w:pPr>
      <w:rPr>
        <w:rFonts w:ascii="Arial" w:hAnsi="Arial" w:hint="default"/>
      </w:rPr>
    </w:lvl>
    <w:lvl w:ilvl="7" w:tplc="70BA063E" w:tentative="1">
      <w:start w:val="1"/>
      <w:numFmt w:val="bullet"/>
      <w:lvlText w:val="•"/>
      <w:lvlJc w:val="left"/>
      <w:pPr>
        <w:tabs>
          <w:tab w:val="num" w:pos="5760"/>
        </w:tabs>
        <w:ind w:left="5760" w:hanging="360"/>
      </w:pPr>
      <w:rPr>
        <w:rFonts w:ascii="Arial" w:hAnsi="Arial" w:hint="default"/>
      </w:rPr>
    </w:lvl>
    <w:lvl w:ilvl="8" w:tplc="EB5AA3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CD53FB"/>
    <w:multiLevelType w:val="multilevel"/>
    <w:tmpl w:val="2A2A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35419"/>
    <w:multiLevelType w:val="hybridMultilevel"/>
    <w:tmpl w:val="C3669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1752C"/>
    <w:multiLevelType w:val="multilevel"/>
    <w:tmpl w:val="C82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24AB5"/>
    <w:multiLevelType w:val="multilevel"/>
    <w:tmpl w:val="74D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D963F6"/>
    <w:multiLevelType w:val="hybridMultilevel"/>
    <w:tmpl w:val="4D5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F4BDF"/>
    <w:multiLevelType w:val="multilevel"/>
    <w:tmpl w:val="D8DE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21214D"/>
    <w:multiLevelType w:val="hybridMultilevel"/>
    <w:tmpl w:val="5B483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B12AA"/>
    <w:multiLevelType w:val="multilevel"/>
    <w:tmpl w:val="6C544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04743323">
    <w:abstractNumId w:val="16"/>
  </w:num>
  <w:num w:numId="2" w16cid:durableId="1043596031">
    <w:abstractNumId w:val="12"/>
  </w:num>
  <w:num w:numId="3" w16cid:durableId="1076170041">
    <w:abstractNumId w:val="26"/>
  </w:num>
  <w:num w:numId="4" w16cid:durableId="1494561458">
    <w:abstractNumId w:val="22"/>
  </w:num>
  <w:num w:numId="5" w16cid:durableId="1546485229">
    <w:abstractNumId w:val="9"/>
  </w:num>
  <w:num w:numId="6" w16cid:durableId="1567957308">
    <w:abstractNumId w:val="20"/>
  </w:num>
  <w:num w:numId="7" w16cid:durableId="1641114975">
    <w:abstractNumId w:val="10"/>
  </w:num>
  <w:num w:numId="8" w16cid:durableId="1671719351">
    <w:abstractNumId w:val="14"/>
  </w:num>
  <w:num w:numId="9" w16cid:durableId="1703704346">
    <w:abstractNumId w:val="4"/>
  </w:num>
  <w:num w:numId="10" w16cid:durableId="1713118046">
    <w:abstractNumId w:val="27"/>
  </w:num>
  <w:num w:numId="11" w16cid:durableId="1788888848">
    <w:abstractNumId w:val="25"/>
  </w:num>
  <w:num w:numId="12" w16cid:durableId="1998651828">
    <w:abstractNumId w:val="1"/>
  </w:num>
  <w:num w:numId="13" w16cid:durableId="2010906921">
    <w:abstractNumId w:val="13"/>
  </w:num>
  <w:num w:numId="14" w16cid:durableId="201675315">
    <w:abstractNumId w:val="23"/>
  </w:num>
  <w:num w:numId="15" w16cid:durableId="2108379546">
    <w:abstractNumId w:val="3"/>
  </w:num>
  <w:num w:numId="16" w16cid:durableId="225848553">
    <w:abstractNumId w:val="7"/>
  </w:num>
  <w:num w:numId="17" w16cid:durableId="331757742">
    <w:abstractNumId w:val="17"/>
  </w:num>
  <w:num w:numId="18" w16cid:durableId="347678926">
    <w:abstractNumId w:val="6"/>
  </w:num>
  <w:num w:numId="19" w16cid:durableId="438449433">
    <w:abstractNumId w:val="2"/>
  </w:num>
  <w:num w:numId="20" w16cid:durableId="513765870">
    <w:abstractNumId w:val="0"/>
  </w:num>
  <w:num w:numId="21" w16cid:durableId="626544767">
    <w:abstractNumId w:val="15"/>
  </w:num>
  <w:num w:numId="22" w16cid:durableId="719286173">
    <w:abstractNumId w:val="8"/>
  </w:num>
  <w:num w:numId="23" w16cid:durableId="786659565">
    <w:abstractNumId w:val="21"/>
  </w:num>
  <w:num w:numId="24" w16cid:durableId="823661639">
    <w:abstractNumId w:val="11"/>
  </w:num>
  <w:num w:numId="25" w16cid:durableId="837425192">
    <w:abstractNumId w:val="5"/>
  </w:num>
  <w:num w:numId="26" w16cid:durableId="874002858">
    <w:abstractNumId w:val="24"/>
  </w:num>
  <w:num w:numId="27" w16cid:durableId="923534598">
    <w:abstractNumId w:val="18"/>
  </w:num>
  <w:num w:numId="28" w16cid:durableId="9879007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8"/>
    <w:rsid w:val="000018A4"/>
    <w:rsid w:val="00025694"/>
    <w:rsid w:val="00041102"/>
    <w:rsid w:val="0005275C"/>
    <w:rsid w:val="00055CFD"/>
    <w:rsid w:val="0006031E"/>
    <w:rsid w:val="00062E5D"/>
    <w:rsid w:val="00070A83"/>
    <w:rsid w:val="000760C1"/>
    <w:rsid w:val="00093438"/>
    <w:rsid w:val="00095113"/>
    <w:rsid w:val="000975CD"/>
    <w:rsid w:val="000A456F"/>
    <w:rsid w:val="000A45CB"/>
    <w:rsid w:val="000A60F0"/>
    <w:rsid w:val="000B6395"/>
    <w:rsid w:val="000C0B1C"/>
    <w:rsid w:val="000C2BF4"/>
    <w:rsid w:val="000C3A79"/>
    <w:rsid w:val="000D2E73"/>
    <w:rsid w:val="000E0584"/>
    <w:rsid w:val="000F50D4"/>
    <w:rsid w:val="000F5A74"/>
    <w:rsid w:val="00110066"/>
    <w:rsid w:val="0011506F"/>
    <w:rsid w:val="0013512D"/>
    <w:rsid w:val="00135DC5"/>
    <w:rsid w:val="001564A8"/>
    <w:rsid w:val="00157C64"/>
    <w:rsid w:val="0016441F"/>
    <w:rsid w:val="00164B0F"/>
    <w:rsid w:val="00174A1A"/>
    <w:rsid w:val="00183747"/>
    <w:rsid w:val="00183BA0"/>
    <w:rsid w:val="00185EB8"/>
    <w:rsid w:val="001864CE"/>
    <w:rsid w:val="00195F9F"/>
    <w:rsid w:val="001C1064"/>
    <w:rsid w:val="001D1B21"/>
    <w:rsid w:val="001D75AD"/>
    <w:rsid w:val="001E087A"/>
    <w:rsid w:val="001E11AE"/>
    <w:rsid w:val="001F7376"/>
    <w:rsid w:val="0021336B"/>
    <w:rsid w:val="00240859"/>
    <w:rsid w:val="00241265"/>
    <w:rsid w:val="00241B26"/>
    <w:rsid w:val="00242A7D"/>
    <w:rsid w:val="0025266E"/>
    <w:rsid w:val="00252F9B"/>
    <w:rsid w:val="00265194"/>
    <w:rsid w:val="00270ED5"/>
    <w:rsid w:val="00271BE1"/>
    <w:rsid w:val="0028326B"/>
    <w:rsid w:val="0028506F"/>
    <w:rsid w:val="0028511A"/>
    <w:rsid w:val="00295199"/>
    <w:rsid w:val="0029562A"/>
    <w:rsid w:val="002A5DAA"/>
    <w:rsid w:val="002A7508"/>
    <w:rsid w:val="002C3A74"/>
    <w:rsid w:val="002C7418"/>
    <w:rsid w:val="002E0E44"/>
    <w:rsid w:val="003108C7"/>
    <w:rsid w:val="00314896"/>
    <w:rsid w:val="00314DA5"/>
    <w:rsid w:val="00333169"/>
    <w:rsid w:val="00351CE6"/>
    <w:rsid w:val="00374D67"/>
    <w:rsid w:val="00376EBE"/>
    <w:rsid w:val="003868F1"/>
    <w:rsid w:val="00387F79"/>
    <w:rsid w:val="00397B2F"/>
    <w:rsid w:val="003A040F"/>
    <w:rsid w:val="003B577B"/>
    <w:rsid w:val="003C18B2"/>
    <w:rsid w:val="003C7030"/>
    <w:rsid w:val="003D7742"/>
    <w:rsid w:val="003F02C4"/>
    <w:rsid w:val="003F1609"/>
    <w:rsid w:val="003F1B33"/>
    <w:rsid w:val="003F2C58"/>
    <w:rsid w:val="003F56F5"/>
    <w:rsid w:val="003F789C"/>
    <w:rsid w:val="00410BF2"/>
    <w:rsid w:val="00416C04"/>
    <w:rsid w:val="004433A9"/>
    <w:rsid w:val="00466892"/>
    <w:rsid w:val="00482D77"/>
    <w:rsid w:val="004862A6"/>
    <w:rsid w:val="00496FE0"/>
    <w:rsid w:val="004A0747"/>
    <w:rsid w:val="004A125D"/>
    <w:rsid w:val="004A24D6"/>
    <w:rsid w:val="004A5CBB"/>
    <w:rsid w:val="004B13B6"/>
    <w:rsid w:val="004D6881"/>
    <w:rsid w:val="004E0C12"/>
    <w:rsid w:val="004E1836"/>
    <w:rsid w:val="004E238D"/>
    <w:rsid w:val="004E3BBE"/>
    <w:rsid w:val="004E4201"/>
    <w:rsid w:val="00501F76"/>
    <w:rsid w:val="005076DD"/>
    <w:rsid w:val="00520772"/>
    <w:rsid w:val="00521710"/>
    <w:rsid w:val="005227FA"/>
    <w:rsid w:val="00525C98"/>
    <w:rsid w:val="00535BFC"/>
    <w:rsid w:val="005625F9"/>
    <w:rsid w:val="005666A6"/>
    <w:rsid w:val="005674D0"/>
    <w:rsid w:val="00572760"/>
    <w:rsid w:val="005772A0"/>
    <w:rsid w:val="00586109"/>
    <w:rsid w:val="00596BF8"/>
    <w:rsid w:val="005B14EC"/>
    <w:rsid w:val="005B605A"/>
    <w:rsid w:val="005C68B4"/>
    <w:rsid w:val="005C75ED"/>
    <w:rsid w:val="005D0060"/>
    <w:rsid w:val="005D3C4B"/>
    <w:rsid w:val="005D479E"/>
    <w:rsid w:val="005D68A1"/>
    <w:rsid w:val="005E5D67"/>
    <w:rsid w:val="005F1BCA"/>
    <w:rsid w:val="005F46A3"/>
    <w:rsid w:val="0060348B"/>
    <w:rsid w:val="006064A4"/>
    <w:rsid w:val="00607DCF"/>
    <w:rsid w:val="006230AA"/>
    <w:rsid w:val="006230F9"/>
    <w:rsid w:val="00623DEF"/>
    <w:rsid w:val="00631FF9"/>
    <w:rsid w:val="00640946"/>
    <w:rsid w:val="006438C8"/>
    <w:rsid w:val="0065274C"/>
    <w:rsid w:val="006548A4"/>
    <w:rsid w:val="006669B4"/>
    <w:rsid w:val="00674522"/>
    <w:rsid w:val="00681A98"/>
    <w:rsid w:val="00684906"/>
    <w:rsid w:val="00685EAA"/>
    <w:rsid w:val="00691FD5"/>
    <w:rsid w:val="00694588"/>
    <w:rsid w:val="006A793D"/>
    <w:rsid w:val="006A7944"/>
    <w:rsid w:val="006B132F"/>
    <w:rsid w:val="006C244A"/>
    <w:rsid w:val="006D320D"/>
    <w:rsid w:val="006D351B"/>
    <w:rsid w:val="006E254C"/>
    <w:rsid w:val="006E3C1E"/>
    <w:rsid w:val="006E5402"/>
    <w:rsid w:val="006E5669"/>
    <w:rsid w:val="006E7010"/>
    <w:rsid w:val="006F3783"/>
    <w:rsid w:val="006F3790"/>
    <w:rsid w:val="006F7A05"/>
    <w:rsid w:val="00710B2B"/>
    <w:rsid w:val="00713599"/>
    <w:rsid w:val="007223FF"/>
    <w:rsid w:val="0073297B"/>
    <w:rsid w:val="00736A12"/>
    <w:rsid w:val="0074060D"/>
    <w:rsid w:val="007477EC"/>
    <w:rsid w:val="00750036"/>
    <w:rsid w:val="00761D4D"/>
    <w:rsid w:val="00762DA9"/>
    <w:rsid w:val="00772F1B"/>
    <w:rsid w:val="00773FAA"/>
    <w:rsid w:val="00780AB5"/>
    <w:rsid w:val="007A594F"/>
    <w:rsid w:val="007A6803"/>
    <w:rsid w:val="007C4060"/>
    <w:rsid w:val="007C751D"/>
    <w:rsid w:val="007E0E38"/>
    <w:rsid w:val="007E11AF"/>
    <w:rsid w:val="007F5936"/>
    <w:rsid w:val="00803ED9"/>
    <w:rsid w:val="00806185"/>
    <w:rsid w:val="00806C3F"/>
    <w:rsid w:val="0081010E"/>
    <w:rsid w:val="00810508"/>
    <w:rsid w:val="00820FBD"/>
    <w:rsid w:val="0082186E"/>
    <w:rsid w:val="008623FC"/>
    <w:rsid w:val="00862A0D"/>
    <w:rsid w:val="0086311A"/>
    <w:rsid w:val="00870A90"/>
    <w:rsid w:val="00871987"/>
    <w:rsid w:val="00893A86"/>
    <w:rsid w:val="008A06B5"/>
    <w:rsid w:val="008B2F19"/>
    <w:rsid w:val="008B341C"/>
    <w:rsid w:val="008D3450"/>
    <w:rsid w:val="008D65D7"/>
    <w:rsid w:val="008D7152"/>
    <w:rsid w:val="008E2143"/>
    <w:rsid w:val="008E6115"/>
    <w:rsid w:val="008F15F3"/>
    <w:rsid w:val="008F3D13"/>
    <w:rsid w:val="008F4FE0"/>
    <w:rsid w:val="008F6815"/>
    <w:rsid w:val="00907F04"/>
    <w:rsid w:val="00921134"/>
    <w:rsid w:val="0092417F"/>
    <w:rsid w:val="009434A7"/>
    <w:rsid w:val="00945026"/>
    <w:rsid w:val="00964A29"/>
    <w:rsid w:val="00971020"/>
    <w:rsid w:val="00975396"/>
    <w:rsid w:val="00986440"/>
    <w:rsid w:val="009924C0"/>
    <w:rsid w:val="00993A7E"/>
    <w:rsid w:val="009A1B26"/>
    <w:rsid w:val="009A29BC"/>
    <w:rsid w:val="009A6AD2"/>
    <w:rsid w:val="009B4C7E"/>
    <w:rsid w:val="009B7977"/>
    <w:rsid w:val="009C567B"/>
    <w:rsid w:val="009C5ABA"/>
    <w:rsid w:val="009D582B"/>
    <w:rsid w:val="009E264C"/>
    <w:rsid w:val="009E49A1"/>
    <w:rsid w:val="009E4A1D"/>
    <w:rsid w:val="009F7CB2"/>
    <w:rsid w:val="00A246F7"/>
    <w:rsid w:val="00A32E3F"/>
    <w:rsid w:val="00A341CF"/>
    <w:rsid w:val="00A35DC8"/>
    <w:rsid w:val="00A43594"/>
    <w:rsid w:val="00A44A3B"/>
    <w:rsid w:val="00A459ED"/>
    <w:rsid w:val="00A50490"/>
    <w:rsid w:val="00A55538"/>
    <w:rsid w:val="00A815DC"/>
    <w:rsid w:val="00A81C29"/>
    <w:rsid w:val="00A85EFA"/>
    <w:rsid w:val="00A918B4"/>
    <w:rsid w:val="00A91B7B"/>
    <w:rsid w:val="00AA3E29"/>
    <w:rsid w:val="00AB683F"/>
    <w:rsid w:val="00AD9530"/>
    <w:rsid w:val="00AE0A62"/>
    <w:rsid w:val="00AE12F1"/>
    <w:rsid w:val="00AE5602"/>
    <w:rsid w:val="00AE7923"/>
    <w:rsid w:val="00AF0FD2"/>
    <w:rsid w:val="00AF4EB5"/>
    <w:rsid w:val="00B012A1"/>
    <w:rsid w:val="00B03B80"/>
    <w:rsid w:val="00B10298"/>
    <w:rsid w:val="00B142C9"/>
    <w:rsid w:val="00B171DF"/>
    <w:rsid w:val="00B21420"/>
    <w:rsid w:val="00B512A3"/>
    <w:rsid w:val="00B6037F"/>
    <w:rsid w:val="00B6050D"/>
    <w:rsid w:val="00B749B6"/>
    <w:rsid w:val="00B74C13"/>
    <w:rsid w:val="00B767DF"/>
    <w:rsid w:val="00B874AF"/>
    <w:rsid w:val="00BA7C2D"/>
    <w:rsid w:val="00BB7C68"/>
    <w:rsid w:val="00BC1223"/>
    <w:rsid w:val="00BD62BB"/>
    <w:rsid w:val="00BE0227"/>
    <w:rsid w:val="00BE2309"/>
    <w:rsid w:val="00BF07F0"/>
    <w:rsid w:val="00BF3186"/>
    <w:rsid w:val="00BF3461"/>
    <w:rsid w:val="00BF5000"/>
    <w:rsid w:val="00BF5BD3"/>
    <w:rsid w:val="00C03FE7"/>
    <w:rsid w:val="00C15697"/>
    <w:rsid w:val="00C24CA4"/>
    <w:rsid w:val="00C2548C"/>
    <w:rsid w:val="00C30A7B"/>
    <w:rsid w:val="00C31CC4"/>
    <w:rsid w:val="00C44297"/>
    <w:rsid w:val="00C5557F"/>
    <w:rsid w:val="00C634CB"/>
    <w:rsid w:val="00C64A94"/>
    <w:rsid w:val="00C76402"/>
    <w:rsid w:val="00C811D8"/>
    <w:rsid w:val="00C9111E"/>
    <w:rsid w:val="00C93E68"/>
    <w:rsid w:val="00CA35EE"/>
    <w:rsid w:val="00CA529D"/>
    <w:rsid w:val="00CB00A5"/>
    <w:rsid w:val="00CB0F6B"/>
    <w:rsid w:val="00CC2E89"/>
    <w:rsid w:val="00CC51A2"/>
    <w:rsid w:val="00CE6C4C"/>
    <w:rsid w:val="00CE7EED"/>
    <w:rsid w:val="00CF47D8"/>
    <w:rsid w:val="00CF6E89"/>
    <w:rsid w:val="00CF7FE3"/>
    <w:rsid w:val="00D22A1C"/>
    <w:rsid w:val="00D329F6"/>
    <w:rsid w:val="00D41B85"/>
    <w:rsid w:val="00D50600"/>
    <w:rsid w:val="00D51237"/>
    <w:rsid w:val="00D523CA"/>
    <w:rsid w:val="00D534A7"/>
    <w:rsid w:val="00D6722E"/>
    <w:rsid w:val="00D725D4"/>
    <w:rsid w:val="00D759EA"/>
    <w:rsid w:val="00D871F1"/>
    <w:rsid w:val="00D909FF"/>
    <w:rsid w:val="00D93324"/>
    <w:rsid w:val="00D93A70"/>
    <w:rsid w:val="00DA6A67"/>
    <w:rsid w:val="00DB0DB5"/>
    <w:rsid w:val="00DB1A3B"/>
    <w:rsid w:val="00DB5D3D"/>
    <w:rsid w:val="00DB7FCA"/>
    <w:rsid w:val="00E03263"/>
    <w:rsid w:val="00E23783"/>
    <w:rsid w:val="00E24698"/>
    <w:rsid w:val="00E24E4A"/>
    <w:rsid w:val="00E260EB"/>
    <w:rsid w:val="00E37C7A"/>
    <w:rsid w:val="00E42A24"/>
    <w:rsid w:val="00E4325D"/>
    <w:rsid w:val="00E55941"/>
    <w:rsid w:val="00E672CC"/>
    <w:rsid w:val="00E8359B"/>
    <w:rsid w:val="00E8439D"/>
    <w:rsid w:val="00E92C52"/>
    <w:rsid w:val="00EA0514"/>
    <w:rsid w:val="00EC23BD"/>
    <w:rsid w:val="00EC5D57"/>
    <w:rsid w:val="00ED02D1"/>
    <w:rsid w:val="00ED1F6E"/>
    <w:rsid w:val="00ED2879"/>
    <w:rsid w:val="00EE0F08"/>
    <w:rsid w:val="00F01C88"/>
    <w:rsid w:val="00F020C5"/>
    <w:rsid w:val="00F03631"/>
    <w:rsid w:val="00F04B81"/>
    <w:rsid w:val="00F100DF"/>
    <w:rsid w:val="00F10AD1"/>
    <w:rsid w:val="00F16CB0"/>
    <w:rsid w:val="00F272EA"/>
    <w:rsid w:val="00F2789B"/>
    <w:rsid w:val="00F31666"/>
    <w:rsid w:val="00F35341"/>
    <w:rsid w:val="00F37A57"/>
    <w:rsid w:val="00F40397"/>
    <w:rsid w:val="00F41857"/>
    <w:rsid w:val="00F472FC"/>
    <w:rsid w:val="00F47754"/>
    <w:rsid w:val="00F5203F"/>
    <w:rsid w:val="00F62CDE"/>
    <w:rsid w:val="00F76901"/>
    <w:rsid w:val="00F838B6"/>
    <w:rsid w:val="00F85538"/>
    <w:rsid w:val="00F858CD"/>
    <w:rsid w:val="00F879FA"/>
    <w:rsid w:val="00F907C4"/>
    <w:rsid w:val="00F94655"/>
    <w:rsid w:val="00FA0781"/>
    <w:rsid w:val="00FA39B6"/>
    <w:rsid w:val="00FA4521"/>
    <w:rsid w:val="00FA5DA7"/>
    <w:rsid w:val="00FB3D43"/>
    <w:rsid w:val="00FB4158"/>
    <w:rsid w:val="00FB44DF"/>
    <w:rsid w:val="00FB5349"/>
    <w:rsid w:val="00FC3141"/>
    <w:rsid w:val="00FD09E6"/>
    <w:rsid w:val="00FD1098"/>
    <w:rsid w:val="00FD6B11"/>
    <w:rsid w:val="00FE0C28"/>
    <w:rsid w:val="00FE3B46"/>
    <w:rsid w:val="00FF4D8F"/>
    <w:rsid w:val="00FF7A7A"/>
    <w:rsid w:val="0338C0C4"/>
    <w:rsid w:val="737C0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501"/>
  <w15:chartTrackingRefBased/>
  <w15:docId w15:val="{FD86E4C9-77B9-4E58-B337-97B71E69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36"/>
  </w:style>
  <w:style w:type="paragraph" w:styleId="Heading1">
    <w:name w:val="heading 1"/>
    <w:basedOn w:val="Normal"/>
    <w:next w:val="Normal"/>
    <w:link w:val="Heading1Char"/>
    <w:uiPriority w:val="9"/>
    <w:qFormat/>
    <w:rsid w:val="00156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A8"/>
    <w:rPr>
      <w:rFonts w:eastAsiaTheme="majorEastAsia" w:cstheme="majorBidi"/>
      <w:color w:val="272727" w:themeColor="text1" w:themeTint="D8"/>
    </w:rPr>
  </w:style>
  <w:style w:type="paragraph" w:styleId="Title">
    <w:name w:val="Title"/>
    <w:basedOn w:val="Normal"/>
    <w:next w:val="Normal"/>
    <w:link w:val="TitleChar"/>
    <w:uiPriority w:val="10"/>
    <w:qFormat/>
    <w:rsid w:val="0015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1564A8"/>
    <w:rPr>
      <w:i/>
      <w:iCs/>
      <w:color w:val="404040" w:themeColor="text1" w:themeTint="BF"/>
    </w:rPr>
  </w:style>
  <w:style w:type="paragraph" w:styleId="ListParagraph">
    <w:name w:val="List Paragraph"/>
    <w:basedOn w:val="Normal"/>
    <w:uiPriority w:val="34"/>
    <w:qFormat/>
    <w:rsid w:val="001564A8"/>
    <w:pPr>
      <w:ind w:left="720"/>
      <w:contextualSpacing/>
    </w:pPr>
  </w:style>
  <w:style w:type="character" w:styleId="IntenseEmphasis">
    <w:name w:val="Intense Emphasis"/>
    <w:basedOn w:val="DefaultParagraphFont"/>
    <w:uiPriority w:val="21"/>
    <w:qFormat/>
    <w:rsid w:val="001564A8"/>
    <w:rPr>
      <w:i/>
      <w:iCs/>
      <w:color w:val="0F4761" w:themeColor="accent1" w:themeShade="BF"/>
    </w:rPr>
  </w:style>
  <w:style w:type="paragraph" w:styleId="IntenseQuote">
    <w:name w:val="Intense Quote"/>
    <w:basedOn w:val="Normal"/>
    <w:next w:val="Normal"/>
    <w:link w:val="IntenseQuoteChar"/>
    <w:uiPriority w:val="30"/>
    <w:qFormat/>
    <w:rsid w:val="0015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A8"/>
    <w:rPr>
      <w:i/>
      <w:iCs/>
      <w:color w:val="0F4761" w:themeColor="accent1" w:themeShade="BF"/>
    </w:rPr>
  </w:style>
  <w:style w:type="character" w:styleId="IntenseReference">
    <w:name w:val="Intense Reference"/>
    <w:basedOn w:val="DefaultParagraphFont"/>
    <w:uiPriority w:val="32"/>
    <w:qFormat/>
    <w:rsid w:val="001564A8"/>
    <w:rPr>
      <w:b/>
      <w:bCs/>
      <w:smallCaps/>
      <w:color w:val="0F4761" w:themeColor="accent1" w:themeShade="BF"/>
      <w:spacing w:val="5"/>
    </w:rPr>
  </w:style>
  <w:style w:type="table" w:styleId="TableGrid">
    <w:name w:val="Table Grid"/>
    <w:basedOn w:val="TableNormal"/>
    <w:uiPriority w:val="39"/>
    <w:rsid w:val="0015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0C1"/>
    <w:rPr>
      <w:color w:val="467886" w:themeColor="hyperlink"/>
      <w:u w:val="single"/>
    </w:rPr>
  </w:style>
  <w:style w:type="character" w:styleId="UnresolvedMention">
    <w:name w:val="Unresolved Mention"/>
    <w:basedOn w:val="DefaultParagraphFont"/>
    <w:uiPriority w:val="99"/>
    <w:semiHidden/>
    <w:unhideWhenUsed/>
    <w:rsid w:val="000760C1"/>
    <w:rPr>
      <w:color w:val="605E5C"/>
      <w:shd w:val="clear" w:color="auto" w:fill="E1DFDD"/>
    </w:rPr>
  </w:style>
  <w:style w:type="character" w:styleId="CommentReference">
    <w:name w:val="annotation reference"/>
    <w:basedOn w:val="DefaultParagraphFont"/>
    <w:uiPriority w:val="99"/>
    <w:semiHidden/>
    <w:unhideWhenUsed/>
    <w:rsid w:val="00871987"/>
    <w:rPr>
      <w:sz w:val="16"/>
      <w:szCs w:val="16"/>
    </w:rPr>
  </w:style>
  <w:style w:type="paragraph" w:styleId="CommentText">
    <w:name w:val="annotation text"/>
    <w:basedOn w:val="Normal"/>
    <w:link w:val="CommentTextChar"/>
    <w:uiPriority w:val="99"/>
    <w:unhideWhenUsed/>
    <w:rsid w:val="00871987"/>
    <w:pPr>
      <w:spacing w:line="240" w:lineRule="auto"/>
    </w:pPr>
    <w:rPr>
      <w:sz w:val="20"/>
      <w:szCs w:val="20"/>
    </w:rPr>
  </w:style>
  <w:style w:type="character" w:customStyle="1" w:styleId="CommentTextChar">
    <w:name w:val="Comment Text Char"/>
    <w:basedOn w:val="DefaultParagraphFont"/>
    <w:link w:val="CommentText"/>
    <w:uiPriority w:val="99"/>
    <w:rsid w:val="00871987"/>
    <w:rPr>
      <w:sz w:val="20"/>
      <w:szCs w:val="20"/>
    </w:rPr>
  </w:style>
  <w:style w:type="paragraph" w:styleId="Header">
    <w:name w:val="header"/>
    <w:basedOn w:val="Normal"/>
    <w:link w:val="HeaderChar"/>
    <w:uiPriority w:val="99"/>
    <w:unhideWhenUsed/>
    <w:rsid w:val="008E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15"/>
  </w:style>
  <w:style w:type="paragraph" w:styleId="Footer">
    <w:name w:val="footer"/>
    <w:basedOn w:val="Normal"/>
    <w:link w:val="FooterChar"/>
    <w:uiPriority w:val="99"/>
    <w:unhideWhenUsed/>
    <w:rsid w:val="008E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15"/>
  </w:style>
  <w:style w:type="paragraph" w:styleId="MessageHeader">
    <w:name w:val="Message Header"/>
    <w:basedOn w:val="Normal"/>
    <w:link w:val="MessageHeaderChar"/>
    <w:uiPriority w:val="99"/>
    <w:unhideWhenUsed/>
    <w:rsid w:val="004E3B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lang w:eastAsia="ja-JP"/>
      <w14:ligatures w14:val="none"/>
    </w:rPr>
  </w:style>
  <w:style w:type="character" w:customStyle="1" w:styleId="MessageHeaderChar">
    <w:name w:val="Message Header Char"/>
    <w:basedOn w:val="DefaultParagraphFont"/>
    <w:link w:val="MessageHeader"/>
    <w:uiPriority w:val="99"/>
    <w:rsid w:val="004E3BBE"/>
    <w:rPr>
      <w:rFonts w:asciiTheme="majorHAnsi" w:eastAsiaTheme="majorEastAsia" w:hAnsiTheme="majorHAnsi" w:cstheme="majorBidi"/>
      <w:kern w:val="0"/>
      <w:shd w:val="pct20" w:color="auto" w:fill="auto"/>
      <w:lang w:eastAsia="ja-JP"/>
      <w14:ligatures w14:val="none"/>
    </w:rPr>
  </w:style>
  <w:style w:type="paragraph" w:styleId="NormalWeb">
    <w:name w:val="Normal (Web)"/>
    <w:basedOn w:val="Normal"/>
    <w:uiPriority w:val="99"/>
    <w:semiHidden/>
    <w:unhideWhenUsed/>
    <w:rsid w:val="006438C8"/>
    <w:rPr>
      <w:rFonts w:ascii="Times New Roman" w:hAnsi="Times New Roman" w:cs="Times New Roman"/>
    </w:rPr>
  </w:style>
  <w:style w:type="character" w:styleId="FollowedHyperlink">
    <w:name w:val="FollowedHyperlink"/>
    <w:basedOn w:val="DefaultParagraphFont"/>
    <w:uiPriority w:val="99"/>
    <w:semiHidden/>
    <w:unhideWhenUsed/>
    <w:rsid w:val="00FB41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mitacs.ca/fr/subvention-dexcellence-internationale-acceleration-de-mitacs" TargetMode="External"/><Relationship Id="rId13" Type="http://schemas.openxmlformats.org/officeDocument/2006/relationships/hyperlink" Target="https://www.njc-cnm.gc.ca/directive/d10/fr" TargetMode="External"/><Relationship Id="rId18" Type="http://schemas.openxmlformats.org/officeDocument/2006/relationships/hyperlink" Target="mailto:form300@mitacs.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itacs.ca/fr-ca/a-propos/conseillers-conseilleres-mitacs/" TargetMode="External"/><Relationship Id="rId12" Type="http://schemas.openxmlformats.org/officeDocument/2006/relationships/hyperlink" Target="https://www.nserc-crsng.gc.ca/InterAgency-Interorganismes/TAFA-AFTO/index_fra.asp" TargetMode="External"/><Relationship Id="rId17" Type="http://schemas.openxmlformats.org/officeDocument/2006/relationships/hyperlink" Target="mailto:experience@mitacs.ca" TargetMode="External"/><Relationship Id="rId2" Type="http://schemas.openxmlformats.org/officeDocument/2006/relationships/styles" Target="styles.xml"/><Relationship Id="rId16" Type="http://schemas.openxmlformats.org/officeDocument/2006/relationships/hyperlink" Target="https://www.mitacs.ca/fr-ca/qu-est-ce-que-mitacs-plu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d4k5ww04.eu1.hubspotlinks.com%2FCtc%2FOT%2B113%2Fd4K5Ww04%2FVX4chG2b5VxKW9jg1qQ1g13VdVNrtzX5Nndr9N7jDJwC5nXHCW95jVnq6lZ3pWW4zpwnf4JnfNSW11JTBJ9cWg7WW8gwvpC6cdsN_W52n1bm37dGdgW4FVGxY1ygT3CW2zBzQ_5Jl_PgW9fXqdW6Vfg44W9fbqR71sG2KlW4gfh7R2DjPrjW6MBg5d4SwkzxW44gtmM4f8QqcW3h_4-566Y38FVyj6cr2n5t4BW6GFXfM87slwsW5c_5Jg7_gpdNW8SbhG01vR2bqW8Wpx0t5JFCGnW5CmXwm6hSBnMW5KS3VV665kTCW4RK4087ghLDHW6pml_f58j8NLW5HRDgb1VBZ_WW6-p3jx5-VfnpW6wBK_M79-Jr9W8H041m783KjqW7dn05Q2lxLT3W29Cyr755hT_TW8dNP497b4M2CW96Ls6L9gk3bcW5YxkVZ31v4dyW6QbH7-8HT2x2N5yzhhVqScxQW2P1xDf2hLWZsW16PHLs2SccGSN2FW7jMT2CqYN6WlHst7ZZHDW1c9Yrj1k2nZCW5_x52t4c9J-pV2d3931LKhcjW7hRb097-rzntN6_NgMt9G4g7VTcK4Q4sV-HsW8Xz5NF4DkxzwW5gDBYm3mft77W3QPMJN1QrHHLW4w9VTP3z7hQwf58LK0C04&amp;data=05%7C02%7Comartinez%40mitacs.ca%7Cf9a96ca0775a45b8ec6508dea477f7ea%7Cc9b5301b33334fdaa9f3255953ad265b%7C0%7C0%7C639129032406429189%7CUnknown%7CTWFpbGZsb3d8eyJFbXB0eU1hcGkiOnRydWUsIlYiOiIwLjAuMDAwMCIsIlAiOiJXaW4zMiIsIkFOIjoiTWFpbCIsIldUIjoyfQ%3D%3D%7C0%7C%7C%7C&amp;sdata=%2BHa9zUxtEbRThRf%2F0IMmZZ%2Bo%2FU3pWCWB5T2rFZ0ghmo%3D&amp;reserved=0" TargetMode="External"/><Relationship Id="rId5" Type="http://schemas.openxmlformats.org/officeDocument/2006/relationships/footnotes" Target="footnotes.xml"/><Relationship Id="rId15" Type="http://schemas.openxmlformats.org/officeDocument/2006/relationships/hyperlink" Target="https://www.mitacs.ca/fr-ca/a-propos/conseillers-conseilleres-mitacs/" TargetMode="External"/><Relationship Id="rId10" Type="http://schemas.openxmlformats.org/officeDocument/2006/relationships/hyperlink" Target="https://www.mitacs.ca/fr-ca/nos-programmes/bourse-de-recherche-globalin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n01.safelinks.protection.outlook.com/?url=https%3A%2F%2Fd4k5ww04.eu1.hubspotlinks.com%2FCtc%2FOT%2B113%2Fd4K5Ww04%2FVX4chG2b5VxKW9jg1qQ1g13VdVNrtzX5Nndr9N7jDJwC3qn9qW95jsWP6lZ3nNW15jpJf8KPz8FW1gl8ZH5N-q_RW7mzFrK4PqRWlW6WB9Bt26xzxFVR3N812SNRnjV_kfNp83G3YgW7VW8J_98L6FfW7MK7Lc2Q0bm3N2kvtDDFjTF7MFgcGgy33qqW23x5YF8lWms8W6btXFq52sqQ2W8nnWxV811F_QW8YwFGs2_XYlyW6-5c8Z4wQGz_W6JV41b94xT49W30G8fm81lZQYW1sWKsN3bLDG7W2HBT5J2prDf5W6Dz9Vs7Xl-jgW3mWJqV17WfCgW4DY1Rs7p1nyfW9d_CWR5M3cg3W8Sq2sD4b7wbqW33wQj44fBJ4wW40sS_J7k5zvcW6zbFqy41D8dCW34PZ738wGQDsW4SJ-nd4jgTcKN3FMYLW1QyBbf6z-KDY04&amp;data=05%7C02%7Comartinez%40mitacs.ca%7Cf9a96ca0775a45b8ec6508dea477f7ea%7Cc9b5301b33334fdaa9f3255953ad265b%7C0%7C0%7C639129032406359568%7CUnknown%7CTWFpbGZsb3d8eyJFbXB0eU1hcGkiOnRydWUsIlYiOiIwLjAuMDAwMCIsIlAiOiJXaW4zMiIsIkFOIjoiTWFpbCIsIldUIjoyfQ%3D%3D%7C0%7C%7C%7C&amp;sdata=OMHKS8Gzc9vOw8mtb6ONCQqXGeJH2xAsktnKjMBxBQo%3D&amp;reserved=0" TargetMode="External"/><Relationship Id="rId14" Type="http://schemas.openxmlformats.org/officeDocument/2006/relationships/hyperlink" Target="https://www.mitacs.ca/wp-content/uploads/2022/02/mitacs_travel_subsidy_program.zi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13842</Characters>
  <Application>Microsoft Office Word</Application>
  <DocSecurity>0</DocSecurity>
  <Lines>321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 Batura</dc:creator>
  <cp:keywords/>
  <dc:description/>
  <cp:lastModifiedBy>Marc Delorme</cp:lastModifiedBy>
  <cp:revision>3</cp:revision>
  <cp:lastPrinted>2026-05-21T15:00:00Z</cp:lastPrinted>
  <dcterms:created xsi:type="dcterms:W3CDTF">2026-05-21T15:01:00Z</dcterms:created>
  <dcterms:modified xsi:type="dcterms:W3CDTF">2026-05-21T15:03:00Z</dcterms:modified>
</cp:coreProperties>
</file>